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88" w:rsidRPr="00022DEB" w:rsidRDefault="00E64288" w:rsidP="00E5065E">
      <w:pPr>
        <w:jc w:val="right"/>
        <w:rPr>
          <w:rFonts w:cs="Tahoma"/>
          <w:b/>
          <w:lang w:val="en-GB"/>
        </w:rPr>
      </w:pPr>
      <w:bookmarkStart w:id="0" w:name="_GoBack"/>
      <w:bookmarkEnd w:id="0"/>
    </w:p>
    <w:p w:rsidR="00E64288" w:rsidRPr="00022DEB" w:rsidRDefault="00E64288" w:rsidP="00E5065E">
      <w:pPr>
        <w:jc w:val="right"/>
        <w:rPr>
          <w:rFonts w:cs="Tahoma"/>
          <w:lang w:val="en-GB"/>
        </w:rPr>
      </w:pPr>
    </w:p>
    <w:p w:rsidR="00E64288" w:rsidRPr="00022DEB" w:rsidRDefault="00E64288" w:rsidP="00E64288">
      <w:pPr>
        <w:rPr>
          <w:rFonts w:cs="Tahoma"/>
          <w:lang w:val="en-GB"/>
        </w:rPr>
      </w:pPr>
    </w:p>
    <w:p w:rsidR="00380DE3" w:rsidRDefault="00380DE3" w:rsidP="00E64288">
      <w:pPr>
        <w:rPr>
          <w:rStyle w:val="Strong"/>
          <w:rFonts w:cs="Tahoma"/>
          <w:b w:val="0"/>
          <w:lang w:val="en-GB"/>
        </w:rPr>
      </w:pPr>
    </w:p>
    <w:p w:rsidR="00380DE3" w:rsidRDefault="00380DE3" w:rsidP="00E64288">
      <w:pPr>
        <w:rPr>
          <w:rStyle w:val="Strong"/>
          <w:rFonts w:cs="Tahoma"/>
          <w:b w:val="0"/>
          <w:lang w:val="en-GB"/>
        </w:rPr>
      </w:pPr>
    </w:p>
    <w:p w:rsidR="00380DE3" w:rsidRDefault="00380DE3" w:rsidP="00E64288">
      <w:pPr>
        <w:rPr>
          <w:rStyle w:val="Strong"/>
          <w:rFonts w:cs="Tahoma"/>
          <w:b w:val="0"/>
          <w:lang w:val="en-GB"/>
        </w:rPr>
      </w:pPr>
    </w:p>
    <w:p w:rsidR="00380DE3" w:rsidRDefault="00380DE3" w:rsidP="00E64288">
      <w:pPr>
        <w:rPr>
          <w:rStyle w:val="Strong"/>
          <w:rFonts w:cs="Tahoma"/>
          <w:b w:val="0"/>
          <w:lang w:val="en-GB"/>
        </w:rPr>
      </w:pPr>
    </w:p>
    <w:p w:rsidR="00E64288" w:rsidRPr="00022DEB" w:rsidRDefault="00E64288" w:rsidP="00E64288">
      <w:pPr>
        <w:rPr>
          <w:rFonts w:cs="Tahoma"/>
          <w:lang w:val="en-GB"/>
        </w:rPr>
      </w:pPr>
      <w:r w:rsidRPr="00022DEB">
        <w:rPr>
          <w:rStyle w:val="Strong"/>
          <w:rFonts w:cs="Tahoma"/>
          <w:b w:val="0"/>
          <w:lang w:val="en-GB"/>
        </w:rPr>
        <w:t>Information Documents</w:t>
      </w:r>
    </w:p>
    <w:p w:rsidR="00E64288" w:rsidRPr="00022DEB" w:rsidRDefault="006C51DC" w:rsidP="00E64288">
      <w:pPr>
        <w:rPr>
          <w:rStyle w:val="Strong"/>
          <w:rFonts w:cs="Tahoma"/>
          <w:b w:val="0"/>
          <w:lang w:val="en-GB"/>
        </w:rPr>
      </w:pPr>
      <w:r w:rsidRPr="00022DEB">
        <w:rPr>
          <w:rFonts w:cs="Tahoma"/>
          <w:lang w:val="en-GB"/>
        </w:rPr>
        <w:t>SG/</w:t>
      </w:r>
      <w:proofErr w:type="spellStart"/>
      <w:r w:rsidRPr="00022DEB">
        <w:rPr>
          <w:rFonts w:cs="Tahoma"/>
          <w:lang w:val="en-GB"/>
        </w:rPr>
        <w:t>Inf</w:t>
      </w:r>
      <w:proofErr w:type="spellEnd"/>
      <w:r w:rsidRPr="00022DEB">
        <w:rPr>
          <w:rFonts w:cs="Tahoma"/>
          <w:lang w:val="en-GB"/>
        </w:rPr>
        <w:t>(2019</w:t>
      </w:r>
      <w:r w:rsidR="002A4F75">
        <w:rPr>
          <w:rFonts w:cs="Tahoma"/>
          <w:lang w:val="en-GB"/>
        </w:rPr>
        <w:t>)12</w:t>
      </w:r>
    </w:p>
    <w:p w:rsidR="00E64288" w:rsidRPr="00022DEB" w:rsidRDefault="00E64288" w:rsidP="00E64288">
      <w:pPr>
        <w:jc w:val="both"/>
        <w:rPr>
          <w:rFonts w:cs="Tahoma"/>
          <w:lang w:val="en-GB"/>
        </w:rPr>
      </w:pPr>
    </w:p>
    <w:p w:rsidR="00E64288" w:rsidRPr="00022DEB" w:rsidRDefault="00E64288" w:rsidP="00E64288">
      <w:pPr>
        <w:jc w:val="both"/>
        <w:rPr>
          <w:rFonts w:cs="Tahoma"/>
          <w:b/>
          <w:lang w:val="en-GB"/>
        </w:rPr>
      </w:pPr>
    </w:p>
    <w:p w:rsidR="00E64288" w:rsidRPr="00022DEB" w:rsidRDefault="00E64288" w:rsidP="00E64288">
      <w:pPr>
        <w:rPr>
          <w:rFonts w:cs="Tahoma"/>
          <w:lang w:val="en-GB"/>
        </w:rPr>
      </w:pPr>
    </w:p>
    <w:p w:rsidR="00E64288" w:rsidRPr="00022DEB" w:rsidRDefault="005462B8" w:rsidP="00E64288">
      <w:pPr>
        <w:jc w:val="right"/>
        <w:rPr>
          <w:rFonts w:cs="Tahoma"/>
          <w:lang w:val="en-GB"/>
        </w:rPr>
      </w:pPr>
      <w:r>
        <w:rPr>
          <w:rFonts w:cs="Tahoma"/>
          <w:lang w:val="en-GB"/>
        </w:rPr>
        <w:t>27</w:t>
      </w:r>
      <w:r w:rsidR="00B11AF6" w:rsidRPr="00022DEB">
        <w:rPr>
          <w:rFonts w:cs="Tahoma"/>
          <w:lang w:val="en-GB"/>
        </w:rPr>
        <w:t xml:space="preserve"> </w:t>
      </w:r>
      <w:r w:rsidR="006C51DC" w:rsidRPr="00022DEB">
        <w:rPr>
          <w:rFonts w:cs="Tahoma"/>
          <w:lang w:val="en-GB"/>
        </w:rPr>
        <w:t>March</w:t>
      </w:r>
      <w:r w:rsidR="008355C3" w:rsidRPr="00022DEB">
        <w:rPr>
          <w:rFonts w:cs="Tahoma"/>
          <w:lang w:val="en-GB"/>
        </w:rPr>
        <w:t xml:space="preserve"> </w:t>
      </w:r>
      <w:r w:rsidR="009C4F08" w:rsidRPr="00022DEB">
        <w:rPr>
          <w:rFonts w:cs="Tahoma"/>
          <w:lang w:val="en-GB"/>
        </w:rPr>
        <w:t>201</w:t>
      </w:r>
      <w:r w:rsidR="006C51DC" w:rsidRPr="00022DEB">
        <w:rPr>
          <w:rFonts w:cs="Tahoma"/>
          <w:lang w:val="en-GB"/>
        </w:rPr>
        <w:t>9</w:t>
      </w:r>
      <w:r w:rsidR="00D66693" w:rsidRPr="00022DEB">
        <w:rPr>
          <w:rStyle w:val="FootnoteReference"/>
          <w:rFonts w:cs="Tahoma"/>
          <w:lang w:val="en-GB"/>
        </w:rPr>
        <w:footnoteReference w:id="1"/>
      </w:r>
    </w:p>
    <w:p w:rsidR="009E2055" w:rsidRPr="00022DEB" w:rsidRDefault="009E2055" w:rsidP="00E64288">
      <w:pPr>
        <w:jc w:val="right"/>
        <w:rPr>
          <w:rFonts w:cs="Tahoma"/>
          <w:sz w:val="26"/>
          <w:szCs w:val="26"/>
          <w:lang w:val="en-GB"/>
        </w:rPr>
      </w:pPr>
    </w:p>
    <w:p w:rsidR="00E64288" w:rsidRPr="00022DEB" w:rsidRDefault="00E64288" w:rsidP="00E64288">
      <w:pPr>
        <w:rPr>
          <w:rFonts w:cs="Tahoma"/>
          <w:sz w:val="26"/>
          <w:szCs w:val="26"/>
          <w:lang w:val="en-GB"/>
        </w:rPr>
      </w:pPr>
      <w:r w:rsidRPr="00022DEB">
        <w:rPr>
          <w:rFonts w:cs="Tahoma"/>
          <w:sz w:val="26"/>
          <w:szCs w:val="26"/>
          <w:lang w:val="en-GB"/>
        </w:rPr>
        <w:t>————————————</w:t>
      </w:r>
      <w:r w:rsidRPr="00022DEB">
        <w:rPr>
          <w:rFonts w:cs="Tahoma"/>
          <w:sz w:val="26"/>
          <w:szCs w:val="26"/>
          <w:lang w:val="en-GB"/>
        </w:rPr>
        <w:br/>
      </w:r>
    </w:p>
    <w:p w:rsidR="00E64288" w:rsidRPr="00022DEB" w:rsidRDefault="00E64288" w:rsidP="00E64288">
      <w:pPr>
        <w:jc w:val="both"/>
        <w:rPr>
          <w:rFonts w:cs="Tahoma"/>
          <w:b/>
          <w:sz w:val="26"/>
          <w:szCs w:val="26"/>
          <w:lang w:val="en-GB"/>
        </w:rPr>
      </w:pPr>
      <w:r w:rsidRPr="00022DEB">
        <w:rPr>
          <w:rFonts w:cs="Tahoma"/>
          <w:b/>
          <w:bCs/>
          <w:sz w:val="26"/>
          <w:szCs w:val="26"/>
          <w:lang w:val="en-GB"/>
        </w:rPr>
        <w:t>Consolidated report on the conflict in Georgia</w:t>
      </w:r>
    </w:p>
    <w:p w:rsidR="00E64288" w:rsidRPr="00022DEB" w:rsidRDefault="00E64288" w:rsidP="00E64288">
      <w:pPr>
        <w:rPr>
          <w:rFonts w:cs="Tahoma"/>
          <w:sz w:val="26"/>
          <w:szCs w:val="26"/>
          <w:lang w:val="en-GB"/>
        </w:rPr>
      </w:pPr>
      <w:r w:rsidRPr="00022DEB">
        <w:rPr>
          <w:rFonts w:cs="Tahoma"/>
          <w:bCs/>
          <w:sz w:val="26"/>
          <w:szCs w:val="26"/>
          <w:lang w:val="en-GB"/>
        </w:rPr>
        <w:t>(</w:t>
      </w:r>
      <w:r w:rsidR="0015348A" w:rsidRPr="00022DEB">
        <w:rPr>
          <w:rFonts w:cs="Tahoma"/>
          <w:bCs/>
          <w:sz w:val="26"/>
          <w:szCs w:val="26"/>
          <w:lang w:val="en-GB"/>
        </w:rPr>
        <w:t>October</w:t>
      </w:r>
      <w:r w:rsidR="00E200D8" w:rsidRPr="00022DEB">
        <w:rPr>
          <w:rFonts w:cs="Tahoma"/>
          <w:bCs/>
          <w:sz w:val="26"/>
          <w:szCs w:val="26"/>
          <w:lang w:val="en-GB"/>
        </w:rPr>
        <w:t xml:space="preserve"> </w:t>
      </w:r>
      <w:r w:rsidR="006C51DC" w:rsidRPr="00022DEB">
        <w:rPr>
          <w:rFonts w:cs="Tahoma"/>
          <w:bCs/>
          <w:sz w:val="26"/>
          <w:szCs w:val="26"/>
          <w:lang w:val="en-GB"/>
        </w:rPr>
        <w:t>2018</w:t>
      </w:r>
      <w:r w:rsidR="00D619DC" w:rsidRPr="00022DEB">
        <w:rPr>
          <w:rFonts w:cs="Tahoma"/>
          <w:bCs/>
          <w:sz w:val="26"/>
          <w:szCs w:val="26"/>
          <w:lang w:val="en-GB"/>
        </w:rPr>
        <w:t xml:space="preserve"> </w:t>
      </w:r>
      <w:r w:rsidR="004D0EAC" w:rsidRPr="00022DEB">
        <w:rPr>
          <w:rFonts w:cs="Tahoma"/>
          <w:bCs/>
          <w:sz w:val="26"/>
          <w:szCs w:val="26"/>
          <w:lang w:val="en-GB"/>
        </w:rPr>
        <w:t xml:space="preserve">– </w:t>
      </w:r>
      <w:r w:rsidR="006C51DC" w:rsidRPr="00022DEB">
        <w:rPr>
          <w:rFonts w:cs="Tahoma"/>
          <w:bCs/>
          <w:sz w:val="26"/>
          <w:szCs w:val="26"/>
          <w:lang w:val="en-GB"/>
        </w:rPr>
        <w:t>March 2019</w:t>
      </w:r>
      <w:r w:rsidRPr="00022DEB">
        <w:rPr>
          <w:rFonts w:cs="Tahoma"/>
          <w:bCs/>
          <w:sz w:val="26"/>
          <w:szCs w:val="26"/>
          <w:lang w:val="en-GB"/>
        </w:rPr>
        <w:t>)</w:t>
      </w:r>
    </w:p>
    <w:p w:rsidR="00E64288" w:rsidRPr="00022DEB" w:rsidRDefault="00E64288" w:rsidP="00E64288">
      <w:pPr>
        <w:jc w:val="both"/>
        <w:outlineLvl w:val="0"/>
        <w:rPr>
          <w:rFonts w:cs="Tahoma"/>
          <w:sz w:val="26"/>
          <w:szCs w:val="26"/>
          <w:lang w:val="en-GB"/>
        </w:rPr>
      </w:pPr>
    </w:p>
    <w:p w:rsidR="00E64288" w:rsidRPr="00022DEB" w:rsidRDefault="00E64288" w:rsidP="00E64288">
      <w:pPr>
        <w:rPr>
          <w:rFonts w:cs="Tahoma"/>
          <w:sz w:val="26"/>
          <w:szCs w:val="26"/>
          <w:lang w:val="en-GB"/>
        </w:rPr>
      </w:pPr>
      <w:r w:rsidRPr="00022DEB">
        <w:rPr>
          <w:rFonts w:cs="Tahoma"/>
          <w:sz w:val="26"/>
          <w:szCs w:val="26"/>
          <w:lang w:val="en-GB"/>
        </w:rPr>
        <w:t>————————————</w:t>
      </w:r>
      <w:r w:rsidRPr="00022DEB">
        <w:rPr>
          <w:rFonts w:cs="Tahoma"/>
          <w:sz w:val="26"/>
          <w:szCs w:val="26"/>
          <w:lang w:val="en-GB"/>
        </w:rPr>
        <w:br/>
      </w:r>
    </w:p>
    <w:p w:rsidR="00E64288" w:rsidRPr="00022DEB" w:rsidRDefault="00E64288" w:rsidP="00E64288">
      <w:pPr>
        <w:rPr>
          <w:rFonts w:cs="Tahoma"/>
          <w:lang w:val="en-GB"/>
        </w:rPr>
      </w:pPr>
      <w:r w:rsidRPr="00022DEB">
        <w:rPr>
          <w:rFonts w:cs="Tahoma"/>
          <w:lang w:val="en-GB"/>
        </w:rPr>
        <w:t>Document presented by the Secretary General</w:t>
      </w:r>
    </w:p>
    <w:p w:rsidR="00E64288" w:rsidRPr="00022DEB" w:rsidRDefault="00E64288" w:rsidP="00E64288">
      <w:pPr>
        <w:jc w:val="both"/>
        <w:outlineLvl w:val="0"/>
        <w:rPr>
          <w:rFonts w:cs="Tahoma"/>
          <w:lang w:val="en-GB"/>
        </w:rPr>
      </w:pPr>
    </w:p>
    <w:p w:rsidR="00E64288" w:rsidRPr="00022DEB" w:rsidRDefault="00E64288" w:rsidP="00E64288">
      <w:pPr>
        <w:spacing w:before="100" w:beforeAutospacing="1" w:after="100" w:afterAutospacing="1"/>
        <w:jc w:val="both"/>
        <w:outlineLvl w:val="0"/>
        <w:rPr>
          <w:rFonts w:cs="Tahoma"/>
          <w:lang w:val="en-GB"/>
        </w:rPr>
        <w:sectPr w:rsidR="00E64288" w:rsidRPr="00022DEB" w:rsidSect="0007286C">
          <w:headerReference w:type="even" r:id="rId9"/>
          <w:headerReference w:type="default" r:id="rId10"/>
          <w:headerReference w:type="first" r:id="rId11"/>
          <w:pgSz w:w="11907" w:h="16840" w:code="9"/>
          <w:pgMar w:top="1440" w:right="1647" w:bottom="719" w:left="1620" w:header="709" w:footer="709" w:gutter="0"/>
          <w:cols w:space="708"/>
          <w:titlePg/>
          <w:docGrid w:linePitch="360"/>
        </w:sectPr>
      </w:pPr>
      <w:bookmarkStart w:id="1" w:name="P12_34"/>
      <w:bookmarkEnd w:id="1"/>
    </w:p>
    <w:p w:rsidR="00E64288" w:rsidRPr="00022DEB" w:rsidRDefault="00E64288" w:rsidP="00E64288">
      <w:pPr>
        <w:jc w:val="both"/>
        <w:outlineLvl w:val="0"/>
        <w:rPr>
          <w:rFonts w:cs="Tahoma"/>
          <w:i/>
          <w:lang w:val="en-GB"/>
        </w:rPr>
      </w:pPr>
      <w:r w:rsidRPr="00022DEB">
        <w:rPr>
          <w:rFonts w:cs="Tahoma"/>
          <w:i/>
          <w:lang w:val="en-GB"/>
        </w:rPr>
        <w:lastRenderedPageBreak/>
        <w:t>Introduction</w:t>
      </w:r>
    </w:p>
    <w:p w:rsidR="00E64288" w:rsidRPr="00022DEB" w:rsidRDefault="00E64288" w:rsidP="00E64288">
      <w:pPr>
        <w:jc w:val="both"/>
        <w:outlineLvl w:val="0"/>
        <w:rPr>
          <w:rFonts w:cs="Tahoma"/>
          <w:lang w:val="en-GB"/>
        </w:rPr>
      </w:pPr>
    </w:p>
    <w:p w:rsidR="00E64288" w:rsidRPr="00022DEB" w:rsidRDefault="00E64288" w:rsidP="00E64288">
      <w:pPr>
        <w:numPr>
          <w:ilvl w:val="0"/>
          <w:numId w:val="5"/>
        </w:numPr>
        <w:tabs>
          <w:tab w:val="clear" w:pos="360"/>
        </w:tabs>
        <w:ind w:left="0" w:firstLine="0"/>
        <w:jc w:val="both"/>
        <w:rPr>
          <w:rFonts w:cs="Tahoma"/>
          <w:lang w:val="en-GB"/>
        </w:rPr>
      </w:pPr>
      <w:r w:rsidRPr="00022DEB">
        <w:rPr>
          <w:rFonts w:cs="Tahoma"/>
          <w:lang w:val="en-GB"/>
        </w:rPr>
        <w:t>At their 1080</w:t>
      </w:r>
      <w:r w:rsidR="009E2055" w:rsidRPr="00022DEB">
        <w:rPr>
          <w:rFonts w:cs="Tahoma"/>
          <w:lang w:val="en-GB"/>
        </w:rPr>
        <w:t>th</w:t>
      </w:r>
      <w:r w:rsidRPr="00022DEB">
        <w:rPr>
          <w:rFonts w:cs="Tahoma"/>
          <w:lang w:val="en-GB"/>
        </w:rPr>
        <w:t xml:space="preserve"> meeting on 24 and 26 March 2010, the Ministers’ Deputies took the following decision: “</w:t>
      </w:r>
      <w:r w:rsidRPr="00022DEB">
        <w:rPr>
          <w:rFonts w:cs="Tahoma"/>
          <w:i/>
          <w:lang w:val="en-GB"/>
        </w:rPr>
        <w:t>The Deputies, restating the previous decisions of the Committee of Ministers, invited the Secretary General to prepare his consolidated report on the conflict in Georgia based on his outline and taking into account the comments made during the present meeting”</w:t>
      </w:r>
      <w:r w:rsidRPr="00022DEB">
        <w:rPr>
          <w:rFonts w:cs="Tahoma"/>
          <w:lang w:val="en-GB"/>
        </w:rPr>
        <w:t>.</w:t>
      </w:r>
    </w:p>
    <w:p w:rsidR="00E64288" w:rsidRPr="00022DEB" w:rsidRDefault="00E64288" w:rsidP="00E64288">
      <w:pPr>
        <w:jc w:val="both"/>
        <w:rPr>
          <w:rFonts w:cs="Tahoma"/>
          <w:lang w:val="en-GB"/>
        </w:rPr>
      </w:pPr>
    </w:p>
    <w:p w:rsidR="00E64288" w:rsidRPr="00022DEB" w:rsidRDefault="00E64288" w:rsidP="00E64288">
      <w:pPr>
        <w:numPr>
          <w:ilvl w:val="0"/>
          <w:numId w:val="5"/>
        </w:numPr>
        <w:tabs>
          <w:tab w:val="clear" w:pos="360"/>
        </w:tabs>
        <w:ind w:left="0" w:firstLine="0"/>
        <w:jc w:val="both"/>
        <w:rPr>
          <w:rFonts w:cs="Tahoma"/>
          <w:lang w:val="en-GB"/>
        </w:rPr>
      </w:pPr>
      <w:r w:rsidRPr="00022DEB">
        <w:rPr>
          <w:rFonts w:cs="Tahoma"/>
          <w:lang w:val="en-GB"/>
        </w:rPr>
        <w:t>It is recalled that the objective of the report is to take stock of the situation in Georgia following the August 2008 conflict, to report on the related activities of the Council of Europe and to propose further Council of Europe action. The report is composed of four parts:</w:t>
      </w:r>
    </w:p>
    <w:p w:rsidR="00E64288" w:rsidRPr="00022DEB" w:rsidRDefault="00E64288" w:rsidP="00E64288">
      <w:pPr>
        <w:pStyle w:val="ListParagraph"/>
        <w:rPr>
          <w:rFonts w:cs="Tahoma"/>
          <w:lang w:val="en-GB"/>
        </w:rPr>
      </w:pPr>
    </w:p>
    <w:p w:rsidR="00E64288" w:rsidRPr="00022DEB" w:rsidRDefault="00E64288" w:rsidP="00E64288">
      <w:pPr>
        <w:numPr>
          <w:ilvl w:val="0"/>
          <w:numId w:val="23"/>
        </w:numPr>
        <w:ind w:left="714" w:hanging="357"/>
        <w:jc w:val="both"/>
        <w:rPr>
          <w:rFonts w:cs="Tahoma"/>
          <w:lang w:val="en-GB"/>
        </w:rPr>
      </w:pPr>
      <w:r w:rsidRPr="00022DEB">
        <w:rPr>
          <w:rFonts w:cs="Tahoma"/>
          <w:lang w:val="en-GB"/>
        </w:rPr>
        <w:t xml:space="preserve">update on major developments in the period under review; </w:t>
      </w:r>
    </w:p>
    <w:p w:rsidR="00E64288" w:rsidRPr="00022DEB" w:rsidRDefault="00E64288" w:rsidP="00E64288">
      <w:pPr>
        <w:numPr>
          <w:ilvl w:val="0"/>
          <w:numId w:val="23"/>
        </w:numPr>
        <w:jc w:val="both"/>
        <w:rPr>
          <w:rFonts w:cs="Tahoma"/>
          <w:lang w:val="en-GB"/>
        </w:rPr>
      </w:pPr>
      <w:r w:rsidRPr="00022DEB">
        <w:rPr>
          <w:rFonts w:cs="Tahoma"/>
          <w:lang w:val="en-GB"/>
        </w:rPr>
        <w:t xml:space="preserve">assessment of statutory obligations and commitments related to the conflict and its consequences; </w:t>
      </w:r>
    </w:p>
    <w:p w:rsidR="00E64288" w:rsidRPr="00022DEB" w:rsidRDefault="00E64288" w:rsidP="00E64288">
      <w:pPr>
        <w:numPr>
          <w:ilvl w:val="0"/>
          <w:numId w:val="23"/>
        </w:numPr>
        <w:jc w:val="both"/>
        <w:rPr>
          <w:rFonts w:cs="Tahoma"/>
          <w:lang w:val="en-GB"/>
        </w:rPr>
      </w:pPr>
      <w:r w:rsidRPr="00022DEB">
        <w:rPr>
          <w:rFonts w:cs="Tahoma"/>
          <w:lang w:val="en-GB"/>
        </w:rPr>
        <w:t>human rights situation in the areas affected by the conflict; and</w:t>
      </w:r>
    </w:p>
    <w:p w:rsidR="00E64288" w:rsidRPr="00022DEB" w:rsidRDefault="00E64288" w:rsidP="00E64288">
      <w:pPr>
        <w:numPr>
          <w:ilvl w:val="0"/>
          <w:numId w:val="23"/>
        </w:numPr>
        <w:jc w:val="both"/>
        <w:rPr>
          <w:rFonts w:cs="Tahoma"/>
          <w:lang w:val="en-GB"/>
        </w:rPr>
      </w:pPr>
      <w:r w:rsidRPr="00022DEB">
        <w:rPr>
          <w:rFonts w:cs="Tahoma"/>
          <w:lang w:val="en-GB"/>
        </w:rPr>
        <w:t>current Council of Europe activities aimed at addressing the consequences of the conflict, their follow-up</w:t>
      </w:r>
      <w:r w:rsidR="00512027" w:rsidRPr="00022DEB">
        <w:rPr>
          <w:rFonts w:cs="Tahoma"/>
          <w:lang w:val="en-GB"/>
        </w:rPr>
        <w:t>,</w:t>
      </w:r>
      <w:r w:rsidRPr="00022DEB">
        <w:rPr>
          <w:rFonts w:cs="Tahoma"/>
          <w:lang w:val="en-GB"/>
        </w:rPr>
        <w:t xml:space="preserve"> as well as proposals for future action.</w:t>
      </w:r>
    </w:p>
    <w:p w:rsidR="00E64288" w:rsidRPr="00022DEB" w:rsidRDefault="00E64288" w:rsidP="00E64288">
      <w:pPr>
        <w:jc w:val="both"/>
        <w:rPr>
          <w:rFonts w:cs="Tahoma"/>
          <w:lang w:val="en-GB"/>
        </w:rPr>
      </w:pPr>
    </w:p>
    <w:p w:rsidR="00E64288" w:rsidRPr="00022DEB" w:rsidRDefault="00CE3978" w:rsidP="00E64288">
      <w:pPr>
        <w:numPr>
          <w:ilvl w:val="0"/>
          <w:numId w:val="5"/>
        </w:numPr>
        <w:tabs>
          <w:tab w:val="clear" w:pos="360"/>
        </w:tabs>
        <w:ind w:left="0" w:firstLine="0"/>
        <w:jc w:val="both"/>
        <w:rPr>
          <w:rFonts w:cs="Tahoma"/>
          <w:lang w:val="en-GB"/>
        </w:rPr>
      </w:pPr>
      <w:r w:rsidRPr="00022DEB">
        <w:rPr>
          <w:rFonts w:cs="Tahoma"/>
          <w:lang w:val="en-GB"/>
        </w:rPr>
        <w:t xml:space="preserve">This </w:t>
      </w:r>
      <w:r w:rsidR="0030249F" w:rsidRPr="00022DEB">
        <w:rPr>
          <w:rFonts w:cs="Tahoma"/>
          <w:lang w:val="en-GB"/>
        </w:rPr>
        <w:t>19</w:t>
      </w:r>
      <w:r w:rsidR="009E2055" w:rsidRPr="00022DEB">
        <w:rPr>
          <w:rFonts w:cs="Tahoma"/>
          <w:lang w:val="en-GB"/>
        </w:rPr>
        <w:t>th</w:t>
      </w:r>
      <w:r w:rsidR="009C4F08" w:rsidRPr="00022DEB">
        <w:rPr>
          <w:rFonts w:cs="Tahoma"/>
          <w:lang w:val="en-GB"/>
        </w:rPr>
        <w:t xml:space="preserve"> </w:t>
      </w:r>
      <w:r w:rsidR="00E64288" w:rsidRPr="00022DEB">
        <w:rPr>
          <w:rFonts w:cs="Tahoma"/>
          <w:lang w:val="en-GB"/>
        </w:rPr>
        <w:t xml:space="preserve">consolidated report covers the period between </w:t>
      </w:r>
      <w:r w:rsidR="0030249F" w:rsidRPr="00022DEB">
        <w:rPr>
          <w:rFonts w:cs="Tahoma"/>
          <w:lang w:val="en-GB"/>
        </w:rPr>
        <w:t>October 2018</w:t>
      </w:r>
      <w:r w:rsidRPr="00022DEB">
        <w:rPr>
          <w:rFonts w:cs="Tahoma"/>
          <w:lang w:val="en-GB"/>
        </w:rPr>
        <w:t xml:space="preserve"> and </w:t>
      </w:r>
      <w:r w:rsidR="009C4F08" w:rsidRPr="00022DEB">
        <w:rPr>
          <w:rFonts w:cs="Tahoma"/>
          <w:lang w:val="en-GB"/>
        </w:rPr>
        <w:t>March</w:t>
      </w:r>
      <w:r w:rsidR="00E50B23" w:rsidRPr="00022DEB">
        <w:rPr>
          <w:rFonts w:cs="Tahoma"/>
          <w:lang w:val="en-GB"/>
        </w:rPr>
        <w:t xml:space="preserve"> </w:t>
      </w:r>
      <w:r w:rsidR="0030249F" w:rsidRPr="00022DEB">
        <w:rPr>
          <w:rFonts w:cs="Tahoma"/>
          <w:lang w:val="en-GB"/>
        </w:rPr>
        <w:t>2019</w:t>
      </w:r>
      <w:r w:rsidRPr="00022DEB">
        <w:rPr>
          <w:rFonts w:cs="Tahoma"/>
          <w:lang w:val="en-GB"/>
        </w:rPr>
        <w:t xml:space="preserve">. It builds on the </w:t>
      </w:r>
      <w:r w:rsidR="00E64288" w:rsidRPr="00022DEB">
        <w:rPr>
          <w:rFonts w:cs="Tahoma"/>
          <w:lang w:val="en-GB"/>
        </w:rPr>
        <w:t>previous consolidated reports</w:t>
      </w:r>
      <w:r w:rsidR="00E64288" w:rsidRPr="00022DEB">
        <w:rPr>
          <w:rFonts w:cs="Tahoma"/>
          <w:vertAlign w:val="superscript"/>
          <w:lang w:val="en-GB"/>
        </w:rPr>
        <w:footnoteReference w:id="2"/>
      </w:r>
      <w:r w:rsidR="00E64288" w:rsidRPr="00022DEB">
        <w:rPr>
          <w:rFonts w:cs="Tahoma"/>
          <w:lang w:val="en-GB"/>
        </w:rPr>
        <w:t>, as well as Secretariat reports on the human rights situation in the areas affected by the conflict in Georgia</w:t>
      </w:r>
      <w:r w:rsidR="00E64288" w:rsidRPr="00022DEB">
        <w:rPr>
          <w:rFonts w:cs="Tahoma"/>
          <w:vertAlign w:val="superscript"/>
          <w:lang w:val="en-GB"/>
        </w:rPr>
        <w:footnoteReference w:id="3"/>
      </w:r>
      <w:r w:rsidR="00E64288" w:rsidRPr="00022DEB">
        <w:rPr>
          <w:rFonts w:cs="Tahoma"/>
          <w:lang w:val="en-GB"/>
        </w:rPr>
        <w:t xml:space="preserve"> and the report on the Council of Europe activities in the areas affected by the conflict</w:t>
      </w:r>
      <w:r w:rsidR="00E64288" w:rsidRPr="00022DEB">
        <w:rPr>
          <w:rFonts w:cs="Tahoma"/>
          <w:vertAlign w:val="superscript"/>
          <w:lang w:val="en-GB"/>
        </w:rPr>
        <w:footnoteReference w:id="4"/>
      </w:r>
      <w:r w:rsidR="00E64288" w:rsidRPr="00022DEB">
        <w:rPr>
          <w:rFonts w:cs="Tahoma"/>
          <w:lang w:val="en-GB"/>
        </w:rPr>
        <w:t xml:space="preserve"> and its updates</w:t>
      </w:r>
      <w:r w:rsidR="00E64288" w:rsidRPr="00022DEB">
        <w:rPr>
          <w:rFonts w:cs="Tahoma"/>
          <w:vertAlign w:val="superscript"/>
          <w:lang w:val="en-GB"/>
        </w:rPr>
        <w:footnoteReference w:id="5"/>
      </w:r>
      <w:r w:rsidR="00E64288" w:rsidRPr="00022DEB">
        <w:rPr>
          <w:rFonts w:cs="Tahoma"/>
          <w:lang w:val="en-GB"/>
        </w:rPr>
        <w:t>.</w:t>
      </w:r>
      <w:r w:rsidR="00C72AB6" w:rsidRPr="00022DEB">
        <w:rPr>
          <w:rFonts w:cs="Tahoma"/>
          <w:lang w:val="en-GB"/>
        </w:rPr>
        <w:t xml:space="preserve"> </w:t>
      </w:r>
      <w:r w:rsidR="007B5140" w:rsidRPr="00022DEB">
        <w:rPr>
          <w:rFonts w:cs="Tahoma"/>
          <w:lang w:val="en-GB"/>
        </w:rPr>
        <w:t>The Deputies</w:t>
      </w:r>
      <w:r w:rsidR="00A42317" w:rsidRPr="00022DEB">
        <w:rPr>
          <w:rFonts w:cs="Tahoma"/>
          <w:lang w:val="en-GB"/>
        </w:rPr>
        <w:t>’</w:t>
      </w:r>
      <w:r w:rsidR="007B5140" w:rsidRPr="00022DEB">
        <w:rPr>
          <w:rFonts w:cs="Tahoma"/>
          <w:lang w:val="en-GB"/>
        </w:rPr>
        <w:t xml:space="preserve"> decisions on the Council of Europe and the conflict in Georgia are also recalled in this respect</w:t>
      </w:r>
      <w:r w:rsidR="00E30F28">
        <w:rPr>
          <w:rFonts w:cs="Tahoma"/>
          <w:lang w:val="en-GB"/>
        </w:rPr>
        <w:t>.</w:t>
      </w:r>
      <w:r w:rsidR="003F0C9E" w:rsidRPr="00022DEB">
        <w:rPr>
          <w:rStyle w:val="FootnoteReference"/>
          <w:rFonts w:cs="Tahoma"/>
          <w:lang w:val="en-GB"/>
        </w:rPr>
        <w:footnoteReference w:id="6"/>
      </w:r>
    </w:p>
    <w:p w:rsidR="00E64288" w:rsidRPr="00022DEB" w:rsidRDefault="00E64288" w:rsidP="00022DEB">
      <w:pPr>
        <w:widowControl w:val="0"/>
        <w:jc w:val="both"/>
        <w:rPr>
          <w:rFonts w:cs="Tahoma"/>
          <w:lang w:val="en-GB"/>
        </w:rPr>
      </w:pPr>
    </w:p>
    <w:p w:rsidR="00E546BC" w:rsidRPr="00022DEB" w:rsidRDefault="00C72AB6" w:rsidP="00022DEB">
      <w:pPr>
        <w:widowControl w:val="0"/>
        <w:numPr>
          <w:ilvl w:val="0"/>
          <w:numId w:val="5"/>
        </w:numPr>
        <w:tabs>
          <w:tab w:val="clear" w:pos="360"/>
        </w:tabs>
        <w:ind w:left="0" w:firstLine="0"/>
        <w:jc w:val="both"/>
        <w:rPr>
          <w:rFonts w:cs="Tahoma"/>
          <w:lang w:val="en-GB"/>
        </w:rPr>
      </w:pPr>
      <w:r w:rsidRPr="00022DEB">
        <w:rPr>
          <w:rFonts w:cs="Tahoma"/>
          <w:lang w:val="en-GB"/>
        </w:rPr>
        <w:t>A delegation of the</w:t>
      </w:r>
      <w:r w:rsidR="00E64288" w:rsidRPr="00022DEB">
        <w:rPr>
          <w:rFonts w:cs="Tahoma"/>
          <w:lang w:val="en-GB"/>
        </w:rPr>
        <w:t xml:space="preserve"> Secretariat carried out a fact-finding visit to Tbilisi </w:t>
      </w:r>
      <w:r w:rsidR="00762DE2" w:rsidRPr="00022DEB">
        <w:rPr>
          <w:rFonts w:cs="Tahoma"/>
          <w:lang w:val="en-GB"/>
        </w:rPr>
        <w:t>on</w:t>
      </w:r>
      <w:r w:rsidR="00AF1EDC" w:rsidRPr="00022DEB">
        <w:rPr>
          <w:rFonts w:cs="Tahoma"/>
          <w:lang w:val="en-GB"/>
        </w:rPr>
        <w:t xml:space="preserve"> </w:t>
      </w:r>
      <w:r w:rsidR="00762DE2" w:rsidRPr="00022DEB">
        <w:rPr>
          <w:rFonts w:cs="Tahoma"/>
          <w:lang w:val="en-GB"/>
        </w:rPr>
        <w:br/>
      </w:r>
      <w:r w:rsidR="0030249F" w:rsidRPr="00022DEB">
        <w:rPr>
          <w:rFonts w:cs="Tahoma"/>
          <w:lang w:val="en-GB"/>
        </w:rPr>
        <w:t>12-13</w:t>
      </w:r>
      <w:r w:rsidR="002633BD" w:rsidRPr="00022DEB">
        <w:rPr>
          <w:rFonts w:cs="Tahoma"/>
          <w:lang w:val="en-GB"/>
        </w:rPr>
        <w:t xml:space="preserve"> </w:t>
      </w:r>
      <w:r w:rsidR="0015348A" w:rsidRPr="00022DEB">
        <w:rPr>
          <w:rFonts w:cs="Tahoma"/>
          <w:lang w:val="en-GB"/>
        </w:rPr>
        <w:t>February</w:t>
      </w:r>
      <w:r w:rsidR="002633BD" w:rsidRPr="00022DEB">
        <w:rPr>
          <w:rFonts w:cs="Tahoma"/>
          <w:lang w:val="en-GB"/>
        </w:rPr>
        <w:t xml:space="preserve"> 201</w:t>
      </w:r>
      <w:r w:rsidR="0030249F" w:rsidRPr="00022DEB">
        <w:rPr>
          <w:rFonts w:cs="Tahoma"/>
          <w:lang w:val="en-GB"/>
        </w:rPr>
        <w:t>9</w:t>
      </w:r>
      <w:r w:rsidR="00E64288" w:rsidRPr="00022DEB">
        <w:rPr>
          <w:rFonts w:cs="Tahoma"/>
          <w:lang w:val="en-GB"/>
        </w:rPr>
        <w:t xml:space="preserve"> and had the opportunity to discuss the situation</w:t>
      </w:r>
      <w:r w:rsidR="00AF1EDC" w:rsidRPr="00022DEB">
        <w:rPr>
          <w:rFonts w:cs="Tahoma"/>
          <w:lang w:val="en-GB"/>
        </w:rPr>
        <w:t xml:space="preserve"> with the Georgian authorities, </w:t>
      </w:r>
      <w:r w:rsidR="0015348A" w:rsidRPr="00022DEB">
        <w:rPr>
          <w:rFonts w:cs="Tahoma"/>
          <w:lang w:val="en-GB"/>
        </w:rPr>
        <w:t xml:space="preserve">the </w:t>
      </w:r>
      <w:r w:rsidR="002B1EFD" w:rsidRPr="00022DEB">
        <w:rPr>
          <w:rFonts w:cs="Tahoma"/>
          <w:lang w:val="en-GB"/>
        </w:rPr>
        <w:t xml:space="preserve">Office of the </w:t>
      </w:r>
      <w:r w:rsidR="0015348A" w:rsidRPr="00022DEB">
        <w:rPr>
          <w:rFonts w:cs="Tahoma"/>
          <w:lang w:val="en-GB"/>
        </w:rPr>
        <w:t>Public Defender of Georgia as well as</w:t>
      </w:r>
      <w:r w:rsidR="000D7B41" w:rsidRPr="00022DEB">
        <w:rPr>
          <w:rFonts w:cs="Tahoma"/>
          <w:lang w:val="en-GB"/>
        </w:rPr>
        <w:t xml:space="preserve"> </w:t>
      </w:r>
      <w:r w:rsidR="00AF1EDC" w:rsidRPr="00022DEB">
        <w:rPr>
          <w:rFonts w:cs="Tahoma"/>
          <w:lang w:val="en-GB"/>
        </w:rPr>
        <w:t xml:space="preserve">representatives of </w:t>
      </w:r>
      <w:r w:rsidR="00E64288" w:rsidRPr="00022DEB">
        <w:rPr>
          <w:rFonts w:cs="Tahoma"/>
          <w:lang w:val="en-GB"/>
        </w:rPr>
        <w:t>international organisations. The Secretariat wishes to express its gratitude to the Georgian authorities for their support in organising the visit and to all interlocutors</w:t>
      </w:r>
      <w:r w:rsidR="0015348A" w:rsidRPr="00022DEB">
        <w:rPr>
          <w:rFonts w:cs="Tahoma"/>
          <w:lang w:val="en-GB"/>
        </w:rPr>
        <w:t xml:space="preserve"> </w:t>
      </w:r>
      <w:r w:rsidR="00E64288" w:rsidRPr="00022DEB">
        <w:rPr>
          <w:rFonts w:cs="Tahoma"/>
          <w:lang w:val="en-GB"/>
        </w:rPr>
        <w:t>for their assistance and valuable contributions.</w:t>
      </w:r>
    </w:p>
    <w:p w:rsidR="00BF6CAD" w:rsidRPr="00022DEB" w:rsidRDefault="00BF6CAD" w:rsidP="00022DEB">
      <w:pPr>
        <w:pStyle w:val="ListParagraph"/>
        <w:widowControl w:val="0"/>
        <w:rPr>
          <w:rFonts w:cs="Tahoma"/>
          <w:lang w:val="en-GB"/>
        </w:rPr>
      </w:pPr>
    </w:p>
    <w:p w:rsidR="00E546BC" w:rsidRPr="00022DEB" w:rsidRDefault="00DE6AAD" w:rsidP="00022DEB">
      <w:pPr>
        <w:widowControl w:val="0"/>
        <w:numPr>
          <w:ilvl w:val="0"/>
          <w:numId w:val="5"/>
        </w:numPr>
        <w:tabs>
          <w:tab w:val="clear" w:pos="360"/>
        </w:tabs>
        <w:ind w:left="0" w:firstLine="0"/>
        <w:jc w:val="both"/>
        <w:rPr>
          <w:rFonts w:cs="Tahoma"/>
          <w:lang w:val="en-GB"/>
        </w:rPr>
      </w:pPr>
      <w:r w:rsidRPr="00022DEB">
        <w:rPr>
          <w:rFonts w:cs="Tahoma"/>
          <w:lang w:val="en-GB"/>
        </w:rPr>
        <w:t xml:space="preserve">Despite </w:t>
      </w:r>
      <w:r w:rsidR="00765DF4" w:rsidRPr="00022DEB">
        <w:rPr>
          <w:rFonts w:cs="Tahoma"/>
          <w:lang w:val="en-GB"/>
        </w:rPr>
        <w:t xml:space="preserve">continued </w:t>
      </w:r>
      <w:r w:rsidRPr="00022DEB">
        <w:rPr>
          <w:rFonts w:cs="Tahoma"/>
          <w:lang w:val="en-GB"/>
        </w:rPr>
        <w:t>efforts</w:t>
      </w:r>
      <w:r w:rsidR="0015348A" w:rsidRPr="00022DEB">
        <w:rPr>
          <w:rFonts w:cs="Tahoma"/>
          <w:lang w:val="en-GB"/>
        </w:rPr>
        <w:t>,</w:t>
      </w:r>
      <w:r w:rsidRPr="00022DEB">
        <w:rPr>
          <w:rFonts w:cs="Tahoma"/>
          <w:lang w:val="en-GB"/>
        </w:rPr>
        <w:t xml:space="preserve"> </w:t>
      </w:r>
      <w:r w:rsidR="0015348A" w:rsidRPr="00022DEB">
        <w:rPr>
          <w:rFonts w:cs="Tahoma"/>
          <w:lang w:val="en-GB"/>
        </w:rPr>
        <w:t xml:space="preserve">the Secretariat </w:t>
      </w:r>
      <w:r w:rsidR="009A3CCE" w:rsidRPr="00022DEB">
        <w:rPr>
          <w:rFonts w:cs="Tahoma"/>
          <w:lang w:val="en-GB"/>
        </w:rPr>
        <w:t xml:space="preserve">was not </w:t>
      </w:r>
      <w:r w:rsidR="00E10DC2" w:rsidRPr="00022DEB">
        <w:rPr>
          <w:rFonts w:cs="Tahoma"/>
          <w:lang w:val="en-GB"/>
        </w:rPr>
        <w:t xml:space="preserve">given </w:t>
      </w:r>
      <w:r w:rsidR="0015348A" w:rsidRPr="00022DEB">
        <w:rPr>
          <w:rFonts w:cs="Tahoma"/>
          <w:lang w:val="en-GB"/>
        </w:rPr>
        <w:t>authorisation to</w:t>
      </w:r>
      <w:r w:rsidR="00A701F1" w:rsidRPr="00022DEB">
        <w:rPr>
          <w:rFonts w:cs="Tahoma"/>
          <w:lang w:val="en-GB"/>
        </w:rPr>
        <w:t xml:space="preserve"> </w:t>
      </w:r>
      <w:r w:rsidR="00E64288" w:rsidRPr="00022DEB">
        <w:rPr>
          <w:rFonts w:cs="Tahoma"/>
          <w:lang w:val="en-GB"/>
        </w:rPr>
        <w:t xml:space="preserve">visit </w:t>
      </w:r>
      <w:r w:rsidR="00A007E9" w:rsidRPr="00022DEB">
        <w:rPr>
          <w:rFonts w:cs="Tahoma"/>
          <w:lang w:val="en-GB"/>
        </w:rPr>
        <w:t xml:space="preserve">Abkhazia and </w:t>
      </w:r>
      <w:r w:rsidR="00E64288" w:rsidRPr="00022DEB">
        <w:rPr>
          <w:rFonts w:cs="Tahoma"/>
          <w:lang w:val="en-GB"/>
        </w:rPr>
        <w:t>South Ossetia</w:t>
      </w:r>
      <w:r w:rsidRPr="00022DEB">
        <w:rPr>
          <w:rFonts w:cs="Tahoma"/>
          <w:lang w:val="en-GB"/>
        </w:rPr>
        <w:t xml:space="preserve"> for the purpose of this consolidated report</w:t>
      </w:r>
      <w:r w:rsidR="00E64288" w:rsidRPr="00022DEB">
        <w:rPr>
          <w:rFonts w:cs="Tahoma"/>
          <w:lang w:val="en-GB"/>
        </w:rPr>
        <w:t>.</w:t>
      </w:r>
      <w:r w:rsidR="00503F4F" w:rsidRPr="00022DEB">
        <w:rPr>
          <w:rFonts w:cs="Tahoma"/>
          <w:lang w:val="en-GB"/>
        </w:rPr>
        <w:t xml:space="preserve"> </w:t>
      </w:r>
      <w:r w:rsidR="0030249F" w:rsidRPr="00022DEB">
        <w:rPr>
          <w:rFonts w:cs="Tahoma"/>
          <w:lang w:val="en-GB"/>
        </w:rPr>
        <w:t>T</w:t>
      </w:r>
      <w:r w:rsidR="00E64288" w:rsidRPr="00022DEB">
        <w:rPr>
          <w:rFonts w:cs="Tahoma"/>
          <w:lang w:val="en-GB"/>
        </w:rPr>
        <w:t xml:space="preserve">he Secretary General </w:t>
      </w:r>
      <w:r w:rsidR="0030249F" w:rsidRPr="00022DEB">
        <w:rPr>
          <w:rFonts w:cs="Tahoma"/>
          <w:lang w:val="en-GB"/>
        </w:rPr>
        <w:t xml:space="preserve">however </w:t>
      </w:r>
      <w:r w:rsidR="00FA4649" w:rsidRPr="00022DEB">
        <w:rPr>
          <w:rFonts w:cs="Tahoma"/>
          <w:lang w:val="en-GB"/>
        </w:rPr>
        <w:t xml:space="preserve">considers it important to </w:t>
      </w:r>
      <w:r w:rsidR="00E64288" w:rsidRPr="00022DEB">
        <w:rPr>
          <w:rFonts w:cs="Tahoma"/>
          <w:lang w:val="en-GB"/>
        </w:rPr>
        <w:t xml:space="preserve">pursue efforts </w:t>
      </w:r>
      <w:r w:rsidR="0030249F" w:rsidRPr="00022DEB">
        <w:rPr>
          <w:rFonts w:cs="Tahoma"/>
          <w:lang w:val="en-GB"/>
        </w:rPr>
        <w:t xml:space="preserve">to obtain access for </w:t>
      </w:r>
      <w:r w:rsidR="00E64288" w:rsidRPr="00022DEB">
        <w:rPr>
          <w:rFonts w:cs="Tahoma"/>
          <w:lang w:val="en-GB"/>
        </w:rPr>
        <w:t xml:space="preserve">fact-finding visits to Abkhazia and South Ossetia for the preparation of future </w:t>
      </w:r>
      <w:r w:rsidR="00826360" w:rsidRPr="00022DEB">
        <w:rPr>
          <w:rFonts w:cs="Tahoma"/>
          <w:lang w:val="en-GB"/>
        </w:rPr>
        <w:t xml:space="preserve">consolidated </w:t>
      </w:r>
      <w:r w:rsidR="00E64288" w:rsidRPr="00022DEB">
        <w:rPr>
          <w:rFonts w:cs="Tahoma"/>
          <w:lang w:val="en-GB"/>
        </w:rPr>
        <w:t>reports.</w:t>
      </w:r>
      <w:r w:rsidR="0003741D" w:rsidRPr="00022DEB">
        <w:rPr>
          <w:rFonts w:cs="Tahoma"/>
          <w:lang w:val="en-GB"/>
        </w:rPr>
        <w:t xml:space="preserve"> </w:t>
      </w:r>
      <w:r w:rsidR="00DA71D0" w:rsidRPr="00022DEB">
        <w:rPr>
          <w:rFonts w:cs="Tahoma"/>
          <w:lang w:val="en-GB"/>
        </w:rPr>
        <w:t>At the same time</w:t>
      </w:r>
      <w:r w:rsidR="0003741D" w:rsidRPr="00022DEB">
        <w:rPr>
          <w:rFonts w:cs="Tahoma"/>
          <w:lang w:val="en-GB"/>
        </w:rPr>
        <w:t xml:space="preserve">, it should be noted </w:t>
      </w:r>
      <w:r w:rsidR="00AD500A" w:rsidRPr="00022DEB">
        <w:rPr>
          <w:rFonts w:cs="Tahoma"/>
          <w:lang w:val="en-GB"/>
        </w:rPr>
        <w:t xml:space="preserve">that </w:t>
      </w:r>
      <w:r w:rsidR="00E10DC2" w:rsidRPr="00022DEB">
        <w:rPr>
          <w:rFonts w:cs="Tahoma"/>
          <w:lang w:val="en-GB"/>
        </w:rPr>
        <w:t xml:space="preserve">in the period under review </w:t>
      </w:r>
      <w:r w:rsidR="0003741D" w:rsidRPr="00022DEB">
        <w:rPr>
          <w:rFonts w:cs="Tahoma"/>
          <w:lang w:val="en-GB"/>
        </w:rPr>
        <w:t xml:space="preserve">the </w:t>
      </w:r>
      <w:r w:rsidR="00DA71D0" w:rsidRPr="00022DEB">
        <w:rPr>
          <w:rFonts w:cs="Tahoma"/>
          <w:lang w:val="en-GB"/>
        </w:rPr>
        <w:t xml:space="preserve">Council of Europe (the Secretariat and experts) </w:t>
      </w:r>
      <w:r w:rsidR="00E10DC2" w:rsidRPr="00022DEB">
        <w:rPr>
          <w:rFonts w:cs="Tahoma"/>
          <w:lang w:val="en-GB"/>
        </w:rPr>
        <w:t xml:space="preserve">continued enjoying </w:t>
      </w:r>
      <w:r w:rsidR="00AF1EDC" w:rsidRPr="00022DEB">
        <w:rPr>
          <w:rFonts w:cs="Tahoma"/>
          <w:lang w:val="en-GB"/>
        </w:rPr>
        <w:t>access to</w:t>
      </w:r>
      <w:r w:rsidR="0003741D" w:rsidRPr="00022DEB">
        <w:rPr>
          <w:rFonts w:cs="Tahoma"/>
          <w:lang w:val="en-GB"/>
        </w:rPr>
        <w:t xml:space="preserve"> Sukhumi </w:t>
      </w:r>
      <w:r w:rsidR="00422608" w:rsidRPr="00022DEB">
        <w:rPr>
          <w:rFonts w:cs="Tahoma"/>
          <w:lang w:val="en-GB"/>
        </w:rPr>
        <w:t xml:space="preserve">for the purpose of </w:t>
      </w:r>
      <w:r w:rsidR="00AF1EDC" w:rsidRPr="00022DEB">
        <w:rPr>
          <w:rFonts w:cs="Tahoma"/>
          <w:lang w:val="en-GB"/>
        </w:rPr>
        <w:t>implementation of</w:t>
      </w:r>
      <w:r w:rsidR="0003741D" w:rsidRPr="00022DEB">
        <w:rPr>
          <w:rFonts w:cs="Tahoma"/>
          <w:lang w:val="en-GB"/>
        </w:rPr>
        <w:t xml:space="preserve"> Confidence</w:t>
      </w:r>
      <w:r w:rsidR="00AD500A" w:rsidRPr="00022DEB">
        <w:rPr>
          <w:rFonts w:cs="Tahoma"/>
          <w:lang w:val="en-GB"/>
        </w:rPr>
        <w:t>-</w:t>
      </w:r>
      <w:r w:rsidR="0003741D" w:rsidRPr="00022DEB">
        <w:rPr>
          <w:rFonts w:cs="Tahoma"/>
          <w:lang w:val="en-GB"/>
        </w:rPr>
        <w:t>Building Measures</w:t>
      </w:r>
      <w:r w:rsidR="00C447EF" w:rsidRPr="00022DEB">
        <w:rPr>
          <w:rFonts w:cs="Tahoma"/>
          <w:lang w:val="en-GB"/>
        </w:rPr>
        <w:t xml:space="preserve"> (CBMs)</w:t>
      </w:r>
      <w:r w:rsidR="0003741D" w:rsidRPr="00022DEB">
        <w:rPr>
          <w:rFonts w:cs="Tahoma"/>
          <w:lang w:val="en-GB"/>
        </w:rPr>
        <w:t xml:space="preserve"> (cf. Sect</w:t>
      </w:r>
      <w:r w:rsidR="00AF1EDC" w:rsidRPr="00022DEB">
        <w:rPr>
          <w:rFonts w:cs="Tahoma"/>
          <w:lang w:val="en-GB"/>
        </w:rPr>
        <w:t>ion IV.</w:t>
      </w:r>
      <w:r w:rsidR="00122964" w:rsidRPr="00022DEB">
        <w:rPr>
          <w:rFonts w:cs="Tahoma"/>
          <w:lang w:val="en-GB"/>
        </w:rPr>
        <w:t>3</w:t>
      </w:r>
      <w:r w:rsidR="0003741D" w:rsidRPr="00022DEB">
        <w:rPr>
          <w:rFonts w:cs="Tahoma"/>
          <w:lang w:val="en-GB"/>
        </w:rPr>
        <w:t>).</w:t>
      </w:r>
      <w:r w:rsidR="00E546BC" w:rsidRPr="00022DEB">
        <w:rPr>
          <w:rFonts w:cs="Tahoma"/>
          <w:lang w:val="en-GB"/>
        </w:rPr>
        <w:t xml:space="preserve"> </w:t>
      </w:r>
    </w:p>
    <w:p w:rsidR="00E546BC" w:rsidRDefault="00E546BC" w:rsidP="00022DEB">
      <w:pPr>
        <w:widowControl w:val="0"/>
        <w:jc w:val="both"/>
        <w:rPr>
          <w:rFonts w:cs="Tahoma"/>
          <w:lang w:val="en-GB"/>
        </w:rPr>
      </w:pPr>
    </w:p>
    <w:p w:rsidR="00022DEB" w:rsidRPr="00022DEB" w:rsidRDefault="00022DEB" w:rsidP="00022DEB">
      <w:pPr>
        <w:widowControl w:val="0"/>
        <w:jc w:val="both"/>
        <w:rPr>
          <w:rFonts w:cs="Tahoma"/>
          <w:lang w:val="en-GB"/>
        </w:rPr>
      </w:pPr>
    </w:p>
    <w:p w:rsidR="009A3CCE" w:rsidRPr="00022DEB" w:rsidRDefault="00E64288" w:rsidP="00022DEB">
      <w:pPr>
        <w:keepNext/>
        <w:numPr>
          <w:ilvl w:val="0"/>
          <w:numId w:val="5"/>
        </w:numPr>
        <w:tabs>
          <w:tab w:val="clear" w:pos="360"/>
        </w:tabs>
        <w:ind w:left="0" w:firstLine="0"/>
        <w:jc w:val="both"/>
        <w:rPr>
          <w:rFonts w:cs="Tahoma"/>
          <w:lang w:val="en-GB"/>
        </w:rPr>
      </w:pPr>
      <w:r w:rsidRPr="00022DEB">
        <w:rPr>
          <w:rFonts w:cs="Tahoma"/>
          <w:lang w:val="en-GB"/>
        </w:rPr>
        <w:lastRenderedPageBreak/>
        <w:t>This report does not replace the monitoring procedures established in the Council of Europe. Nor should it be seen as prejudging any possible decisions in the cases related to the conflict and its consequences, which are currently pending before the European Court of Human Rights.</w:t>
      </w:r>
    </w:p>
    <w:p w:rsidR="00E10DC2" w:rsidRPr="00022DEB" w:rsidRDefault="00E10DC2" w:rsidP="00022DEB">
      <w:pPr>
        <w:keepNext/>
        <w:jc w:val="both"/>
        <w:rPr>
          <w:rFonts w:cs="Tahoma"/>
          <w:lang w:val="en-GB"/>
        </w:rPr>
      </w:pPr>
    </w:p>
    <w:p w:rsidR="00751B2C" w:rsidRPr="00022DEB" w:rsidRDefault="00E64288" w:rsidP="00022DEB">
      <w:pPr>
        <w:widowControl w:val="0"/>
        <w:numPr>
          <w:ilvl w:val="0"/>
          <w:numId w:val="5"/>
        </w:numPr>
        <w:tabs>
          <w:tab w:val="clear" w:pos="360"/>
        </w:tabs>
        <w:ind w:left="0" w:firstLine="0"/>
        <w:jc w:val="both"/>
        <w:rPr>
          <w:rFonts w:cs="Tahoma"/>
          <w:lang w:val="en-GB"/>
        </w:rPr>
      </w:pPr>
      <w:r w:rsidRPr="00022DEB">
        <w:rPr>
          <w:rFonts w:cs="Tahoma"/>
          <w:lang w:val="en-GB"/>
        </w:rPr>
        <w:t>Nothing in this report should be interpreted as being contrary to the full respect of the territorial integrity and sovereignty of Georgia within its internationally recognised borders</w:t>
      </w:r>
      <w:r w:rsidR="00A63D4C" w:rsidRPr="00022DEB">
        <w:rPr>
          <w:rFonts w:cs="Tahoma"/>
          <w:lang w:val="en-GB"/>
        </w:rPr>
        <w:t>.</w:t>
      </w:r>
      <w:r w:rsidRPr="00022DEB">
        <w:rPr>
          <w:rFonts w:cs="Tahoma"/>
          <w:vertAlign w:val="superscript"/>
          <w:lang w:val="en-GB"/>
        </w:rPr>
        <w:footnoteReference w:id="7"/>
      </w:r>
      <w:r w:rsidR="00AA5D07" w:rsidRPr="00022DEB">
        <w:rPr>
          <w:rFonts w:cs="Tahoma"/>
          <w:lang w:val="en-GB"/>
        </w:rPr>
        <w:t xml:space="preserve"> </w:t>
      </w:r>
    </w:p>
    <w:p w:rsidR="00751B2C" w:rsidRPr="00022DEB" w:rsidRDefault="00751B2C" w:rsidP="00022DEB">
      <w:pPr>
        <w:widowControl w:val="0"/>
        <w:jc w:val="both"/>
        <w:rPr>
          <w:rFonts w:cs="Tahoma"/>
          <w:lang w:val="en-GB"/>
        </w:rPr>
      </w:pPr>
    </w:p>
    <w:p w:rsidR="00A220AF" w:rsidRPr="00022DEB" w:rsidRDefault="00E64288" w:rsidP="00022DEB">
      <w:pPr>
        <w:widowControl w:val="0"/>
        <w:numPr>
          <w:ilvl w:val="0"/>
          <w:numId w:val="5"/>
        </w:numPr>
        <w:tabs>
          <w:tab w:val="clear" w:pos="360"/>
        </w:tabs>
        <w:ind w:left="0" w:firstLine="0"/>
        <w:jc w:val="both"/>
        <w:rPr>
          <w:rFonts w:cs="Tahoma"/>
          <w:lang w:val="en-GB"/>
        </w:rPr>
      </w:pPr>
      <w:r w:rsidRPr="00022DEB">
        <w:rPr>
          <w:rFonts w:cs="Tahoma"/>
          <w:lang w:val="en-GB"/>
        </w:rPr>
        <w:t xml:space="preserve">This report does not prejudge or infringe upon a possible future political settlement of the conflict within the framework of the Geneva </w:t>
      </w:r>
      <w:r w:rsidR="009A065E" w:rsidRPr="00022DEB">
        <w:rPr>
          <w:rFonts w:cs="Tahoma"/>
          <w:lang w:val="en-GB"/>
        </w:rPr>
        <w:t xml:space="preserve">International </w:t>
      </w:r>
      <w:r w:rsidRPr="00022DEB">
        <w:rPr>
          <w:rFonts w:cs="Tahoma"/>
          <w:lang w:val="en-GB"/>
        </w:rPr>
        <w:t>Discussions</w:t>
      </w:r>
      <w:r w:rsidR="00AA5D07" w:rsidRPr="00022DEB">
        <w:rPr>
          <w:rFonts w:cs="Tahoma"/>
          <w:lang w:val="en-GB"/>
        </w:rPr>
        <w:t xml:space="preserve">, nor the implementation of the </w:t>
      </w:r>
      <w:r w:rsidR="00102173" w:rsidRPr="00022DEB">
        <w:rPr>
          <w:rFonts w:cs="Tahoma"/>
          <w:lang w:val="en-GB"/>
        </w:rPr>
        <w:t>s</w:t>
      </w:r>
      <w:r w:rsidR="00AA5D07" w:rsidRPr="00022DEB">
        <w:rPr>
          <w:rFonts w:cs="Tahoma"/>
          <w:lang w:val="en-GB"/>
        </w:rPr>
        <w:t>ix-point agreement of 12 August 2008 and the implementing measures of 8 September 2008</w:t>
      </w:r>
      <w:r w:rsidRPr="00022DEB">
        <w:rPr>
          <w:rFonts w:cs="Tahoma"/>
          <w:lang w:val="en-GB"/>
        </w:rPr>
        <w:t>.</w:t>
      </w:r>
      <w:r w:rsidR="00A220AF" w:rsidRPr="00022DEB">
        <w:rPr>
          <w:rFonts w:cs="Tahoma"/>
          <w:lang w:val="en-GB"/>
        </w:rPr>
        <w:t xml:space="preserve"> </w:t>
      </w:r>
    </w:p>
    <w:p w:rsidR="00A220AF" w:rsidRPr="00022DEB" w:rsidRDefault="00A220AF" w:rsidP="00022DEB">
      <w:pPr>
        <w:widowControl w:val="0"/>
        <w:jc w:val="both"/>
        <w:rPr>
          <w:rFonts w:cs="Tahoma"/>
          <w:lang w:val="en-GB"/>
        </w:rPr>
      </w:pPr>
    </w:p>
    <w:p w:rsidR="00A220AF" w:rsidRPr="00022DEB" w:rsidRDefault="00A220AF" w:rsidP="00022DEB">
      <w:pPr>
        <w:widowControl w:val="0"/>
        <w:jc w:val="both"/>
        <w:rPr>
          <w:rFonts w:cs="Tahoma"/>
          <w:i/>
          <w:lang w:val="en-GB"/>
        </w:rPr>
      </w:pPr>
      <w:r w:rsidRPr="00022DEB">
        <w:rPr>
          <w:rFonts w:cs="Tahoma"/>
          <w:i/>
          <w:lang w:val="en-GB"/>
        </w:rPr>
        <w:t>I</w:t>
      </w:r>
      <w:r w:rsidRPr="00022DEB">
        <w:rPr>
          <w:rFonts w:cs="Tahoma"/>
          <w:i/>
          <w:lang w:val="en-GB"/>
        </w:rPr>
        <w:tab/>
        <w:t xml:space="preserve">Update on major developments in the period under review </w:t>
      </w:r>
    </w:p>
    <w:p w:rsidR="00D21CE0" w:rsidRPr="00022DEB" w:rsidRDefault="00D21CE0" w:rsidP="00022DEB">
      <w:pPr>
        <w:widowControl w:val="0"/>
        <w:jc w:val="both"/>
        <w:rPr>
          <w:rFonts w:cs="Tahoma"/>
          <w:lang w:val="en-GB"/>
        </w:rPr>
      </w:pPr>
    </w:p>
    <w:p w:rsidR="0015348A" w:rsidRPr="00022DEB" w:rsidRDefault="002E611E" w:rsidP="00022DEB">
      <w:pPr>
        <w:widowControl w:val="0"/>
        <w:numPr>
          <w:ilvl w:val="0"/>
          <w:numId w:val="5"/>
        </w:numPr>
        <w:tabs>
          <w:tab w:val="clear" w:pos="360"/>
        </w:tabs>
        <w:ind w:left="0" w:firstLine="0"/>
        <w:jc w:val="both"/>
        <w:rPr>
          <w:rFonts w:cs="Tahoma"/>
          <w:lang w:val="en-GB"/>
        </w:rPr>
      </w:pPr>
      <w:r w:rsidRPr="00022DEB">
        <w:rPr>
          <w:rFonts w:cs="Tahoma"/>
          <w:lang w:val="en-GB"/>
        </w:rPr>
        <w:t xml:space="preserve">Following </w:t>
      </w:r>
      <w:r w:rsidR="00E30F28">
        <w:rPr>
          <w:rFonts w:cs="Tahoma"/>
          <w:lang w:val="en-GB"/>
        </w:rPr>
        <w:t xml:space="preserve">the </w:t>
      </w:r>
      <w:r w:rsidR="007C6843" w:rsidRPr="00022DEB">
        <w:rPr>
          <w:rFonts w:cs="Tahoma"/>
          <w:lang w:val="en-GB"/>
        </w:rPr>
        <w:t>November 2018 presidentia</w:t>
      </w:r>
      <w:r w:rsidR="00D21E62" w:rsidRPr="00022DEB">
        <w:rPr>
          <w:rFonts w:cs="Tahoma"/>
          <w:lang w:val="en-GB"/>
        </w:rPr>
        <w:t xml:space="preserve">l elections, Ms Salome </w:t>
      </w:r>
      <w:proofErr w:type="spellStart"/>
      <w:r w:rsidR="00D21E62" w:rsidRPr="00022DEB">
        <w:rPr>
          <w:rFonts w:cs="Tahoma"/>
          <w:lang w:val="en-GB"/>
        </w:rPr>
        <w:t>Zourabi</w:t>
      </w:r>
      <w:r w:rsidR="007C6843" w:rsidRPr="00022DEB">
        <w:rPr>
          <w:rFonts w:cs="Tahoma"/>
          <w:lang w:val="en-GB"/>
        </w:rPr>
        <w:t>chvili</w:t>
      </w:r>
      <w:proofErr w:type="spellEnd"/>
      <w:r w:rsidR="007C6843" w:rsidRPr="00022DEB">
        <w:rPr>
          <w:rFonts w:cs="Tahoma"/>
          <w:lang w:val="en-GB"/>
        </w:rPr>
        <w:t xml:space="preserve"> was elected </w:t>
      </w:r>
      <w:r w:rsidR="00B11AF6" w:rsidRPr="00022DEB">
        <w:rPr>
          <w:rFonts w:cs="Tahoma"/>
          <w:lang w:val="en-GB"/>
        </w:rPr>
        <w:t xml:space="preserve">as </w:t>
      </w:r>
      <w:r w:rsidR="007C6843" w:rsidRPr="00022DEB">
        <w:rPr>
          <w:rFonts w:cs="Tahoma"/>
          <w:lang w:val="en-GB"/>
        </w:rPr>
        <w:t>the fifth President</w:t>
      </w:r>
      <w:r w:rsidR="00B11AF6" w:rsidRPr="00022DEB">
        <w:rPr>
          <w:rFonts w:cs="Tahoma"/>
          <w:lang w:val="en-GB"/>
        </w:rPr>
        <w:t xml:space="preserve"> of Georgia</w:t>
      </w:r>
      <w:r w:rsidR="007C6843" w:rsidRPr="00022DEB">
        <w:rPr>
          <w:rFonts w:cs="Tahoma"/>
          <w:lang w:val="en-GB"/>
        </w:rPr>
        <w:t xml:space="preserve">. </w:t>
      </w:r>
      <w:r w:rsidR="00D21E62" w:rsidRPr="00022DEB">
        <w:rPr>
          <w:rFonts w:cs="Tahoma"/>
          <w:lang w:val="en-GB"/>
        </w:rPr>
        <w:t xml:space="preserve">The elections were not held in Abkhazia and South Ossetia. </w:t>
      </w:r>
      <w:r w:rsidR="007C6843" w:rsidRPr="00022DEB">
        <w:rPr>
          <w:rFonts w:cs="Tahoma"/>
          <w:lang w:val="en-GB"/>
        </w:rPr>
        <w:t>In her inaugurat</w:t>
      </w:r>
      <w:r w:rsidR="00D21E62" w:rsidRPr="00022DEB">
        <w:rPr>
          <w:rFonts w:cs="Tahoma"/>
          <w:lang w:val="en-GB"/>
        </w:rPr>
        <w:t xml:space="preserve">ion speech, Ms </w:t>
      </w:r>
      <w:proofErr w:type="spellStart"/>
      <w:r w:rsidR="00D21E62" w:rsidRPr="00022DEB">
        <w:rPr>
          <w:rFonts w:cs="Tahoma"/>
          <w:lang w:val="en-GB"/>
        </w:rPr>
        <w:t>Zourabichvili</w:t>
      </w:r>
      <w:proofErr w:type="spellEnd"/>
      <w:r w:rsidR="00D21E62" w:rsidRPr="00022DEB">
        <w:rPr>
          <w:rFonts w:cs="Tahoma"/>
          <w:lang w:val="en-GB"/>
        </w:rPr>
        <w:t xml:space="preserve"> </w:t>
      </w:r>
      <w:r w:rsidR="007D4D1D" w:rsidRPr="00022DEB">
        <w:rPr>
          <w:rFonts w:cs="Tahoma"/>
          <w:lang w:val="en-GB"/>
        </w:rPr>
        <w:t xml:space="preserve">called </w:t>
      </w:r>
      <w:r w:rsidR="00E30F28">
        <w:rPr>
          <w:rFonts w:cs="Tahoma"/>
          <w:lang w:val="en-GB"/>
        </w:rPr>
        <w:t>to find</w:t>
      </w:r>
      <w:r w:rsidR="007D4D1D" w:rsidRPr="00022DEB">
        <w:rPr>
          <w:rFonts w:cs="Tahoma"/>
          <w:lang w:val="en-GB"/>
        </w:rPr>
        <w:t xml:space="preserve"> </w:t>
      </w:r>
      <w:r w:rsidR="00D21E62" w:rsidRPr="00022DEB">
        <w:rPr>
          <w:rFonts w:cs="Tahoma"/>
          <w:lang w:val="en-GB"/>
        </w:rPr>
        <w:t xml:space="preserve">a way forward and </w:t>
      </w:r>
      <w:r w:rsidR="00E30F28">
        <w:rPr>
          <w:rFonts w:cs="Tahoma"/>
          <w:lang w:val="en-GB"/>
        </w:rPr>
        <w:t xml:space="preserve">to </w:t>
      </w:r>
      <w:r w:rsidR="00D21E62" w:rsidRPr="00022DEB">
        <w:rPr>
          <w:rFonts w:cs="Tahoma"/>
          <w:lang w:val="en-GB"/>
        </w:rPr>
        <w:t>striv</w:t>
      </w:r>
      <w:r w:rsidR="00E30F28">
        <w:rPr>
          <w:rFonts w:cs="Tahoma"/>
          <w:lang w:val="en-GB"/>
        </w:rPr>
        <w:t>e</w:t>
      </w:r>
      <w:r w:rsidR="00D21E62" w:rsidRPr="00022DEB">
        <w:rPr>
          <w:rFonts w:cs="Tahoma"/>
          <w:lang w:val="en-GB"/>
        </w:rPr>
        <w:t xml:space="preserve"> for reconciliation with the people in Abkhazia and South Ossetia as the only alternative for the future.</w:t>
      </w:r>
      <w:r w:rsidR="007D4D1D" w:rsidRPr="00022DEB">
        <w:rPr>
          <w:rStyle w:val="FootnoteReference"/>
          <w:rFonts w:cs="Tahoma"/>
          <w:lang w:val="en-GB"/>
        </w:rPr>
        <w:footnoteReference w:id="8"/>
      </w:r>
      <w:r w:rsidR="00D21E62" w:rsidRPr="00022DEB">
        <w:rPr>
          <w:rFonts w:cs="Tahoma"/>
          <w:lang w:val="en-GB"/>
        </w:rPr>
        <w:t xml:space="preserve"> </w:t>
      </w:r>
    </w:p>
    <w:p w:rsidR="00B11AF6" w:rsidRPr="00022DEB" w:rsidRDefault="00B11AF6" w:rsidP="00022DEB">
      <w:pPr>
        <w:widowControl w:val="0"/>
        <w:jc w:val="both"/>
        <w:rPr>
          <w:rFonts w:cs="Tahoma"/>
          <w:lang w:val="en-GB"/>
        </w:rPr>
      </w:pPr>
    </w:p>
    <w:p w:rsidR="0015348A" w:rsidRPr="00022DEB" w:rsidRDefault="0015348A" w:rsidP="00022DEB">
      <w:pPr>
        <w:widowControl w:val="0"/>
        <w:numPr>
          <w:ilvl w:val="0"/>
          <w:numId w:val="5"/>
        </w:numPr>
        <w:tabs>
          <w:tab w:val="clear" w:pos="360"/>
        </w:tabs>
        <w:ind w:left="0" w:firstLine="0"/>
        <w:jc w:val="both"/>
        <w:rPr>
          <w:rFonts w:cs="Tahoma"/>
          <w:lang w:val="en-GB"/>
        </w:rPr>
      </w:pPr>
      <w:r w:rsidRPr="00022DEB">
        <w:rPr>
          <w:rFonts w:cs="Tahoma"/>
          <w:lang w:val="en-GB"/>
        </w:rPr>
        <w:t xml:space="preserve">The </w:t>
      </w:r>
      <w:r w:rsidR="007C6843" w:rsidRPr="00022DEB">
        <w:rPr>
          <w:rFonts w:cs="Tahoma"/>
          <w:lang w:val="en-GB"/>
        </w:rPr>
        <w:t>46th</w:t>
      </w:r>
      <w:r w:rsidRPr="00022DEB">
        <w:rPr>
          <w:rFonts w:cs="Tahoma"/>
          <w:lang w:val="en-GB"/>
        </w:rPr>
        <w:t xml:space="preserve"> round of the Geneva International Discussions</w:t>
      </w:r>
      <w:r w:rsidR="003B43F8" w:rsidRPr="00022DEB">
        <w:rPr>
          <w:rFonts w:cs="Tahoma"/>
          <w:lang w:val="en-GB"/>
        </w:rPr>
        <w:t xml:space="preserve"> (GID)</w:t>
      </w:r>
      <w:r w:rsidR="007C6843" w:rsidRPr="00022DEB">
        <w:rPr>
          <w:rFonts w:cs="Tahoma"/>
          <w:lang w:val="en-GB"/>
        </w:rPr>
        <w:t xml:space="preserve"> </w:t>
      </w:r>
      <w:r w:rsidR="001C1D8C" w:rsidRPr="00022DEB">
        <w:rPr>
          <w:rFonts w:cs="Tahoma"/>
          <w:lang w:val="en-GB"/>
        </w:rPr>
        <w:t>took place on 11-12</w:t>
      </w:r>
      <w:r w:rsidR="007C6843" w:rsidRPr="00022DEB">
        <w:rPr>
          <w:rFonts w:cs="Tahoma"/>
          <w:lang w:val="en-GB"/>
        </w:rPr>
        <w:t xml:space="preserve"> December 2018</w:t>
      </w:r>
      <w:r w:rsidRPr="00022DEB">
        <w:rPr>
          <w:rFonts w:cs="Tahoma"/>
          <w:lang w:val="en-GB"/>
        </w:rPr>
        <w:t>. In Working Group I dealing with security issues</w:t>
      </w:r>
      <w:r w:rsidR="00765DF4" w:rsidRPr="00022DEB">
        <w:rPr>
          <w:rFonts w:cs="Tahoma"/>
          <w:lang w:val="en-GB"/>
        </w:rPr>
        <w:t>,</w:t>
      </w:r>
      <w:r w:rsidRPr="00022DEB">
        <w:rPr>
          <w:rFonts w:cs="Tahoma"/>
          <w:lang w:val="en-GB"/>
        </w:rPr>
        <w:t xml:space="preserve"> </w:t>
      </w:r>
      <w:r w:rsidR="00C276B5" w:rsidRPr="00022DEB">
        <w:rPr>
          <w:rFonts w:cs="Tahoma"/>
          <w:lang w:val="en-GB"/>
        </w:rPr>
        <w:t>the participants reaffirmed their commitment to the principle of non-use of force, agreed to continue discussions on this issue in a comprehensive manner and new proposals were welcomed in this regard</w:t>
      </w:r>
      <w:r w:rsidR="0087732F" w:rsidRPr="00022DEB">
        <w:rPr>
          <w:rFonts w:cs="Tahoma"/>
          <w:lang w:val="en-GB"/>
        </w:rPr>
        <w:t>.</w:t>
      </w:r>
      <w:r w:rsidR="00C276B5" w:rsidRPr="00022DEB">
        <w:rPr>
          <w:rFonts w:cs="Tahoma"/>
          <w:lang w:val="en-GB"/>
        </w:rPr>
        <w:t xml:space="preserve"> A</w:t>
      </w:r>
      <w:r w:rsidR="00C351F4" w:rsidRPr="00022DEB">
        <w:rPr>
          <w:rFonts w:cs="Tahoma"/>
          <w:lang w:val="en-GB"/>
        </w:rPr>
        <w:t xml:space="preserve">ll participants highlighted the importance of the Incident Prevention and Response Mechanisms (IPRMs) over </w:t>
      </w:r>
      <w:r w:rsidR="00E30F28">
        <w:rPr>
          <w:rFonts w:cs="Tahoma"/>
          <w:lang w:val="en-GB"/>
        </w:rPr>
        <w:t>recent</w:t>
      </w:r>
      <w:r w:rsidR="00C351F4" w:rsidRPr="00022DEB">
        <w:rPr>
          <w:rFonts w:cs="Tahoma"/>
          <w:lang w:val="en-GB"/>
        </w:rPr>
        <w:t xml:space="preserve"> years in addressing security-related issues. In this context, the Co-Chairs urged participants to resume the regular meetings of IPRMs, in </w:t>
      </w:r>
      <w:proofErr w:type="spellStart"/>
      <w:r w:rsidR="00C351F4" w:rsidRPr="00022DEB">
        <w:rPr>
          <w:rFonts w:cs="Tahoma"/>
          <w:lang w:val="en-GB"/>
        </w:rPr>
        <w:t>Ergneti</w:t>
      </w:r>
      <w:proofErr w:type="spellEnd"/>
      <w:r w:rsidR="00C351F4" w:rsidRPr="00022DEB">
        <w:rPr>
          <w:rFonts w:cs="Tahoma"/>
          <w:lang w:val="en-GB"/>
        </w:rPr>
        <w:t xml:space="preserve"> and </w:t>
      </w:r>
      <w:proofErr w:type="spellStart"/>
      <w:r w:rsidR="00C351F4" w:rsidRPr="00022DEB">
        <w:rPr>
          <w:rFonts w:cs="Tahoma"/>
          <w:lang w:val="en-GB"/>
        </w:rPr>
        <w:t>Gali</w:t>
      </w:r>
      <w:proofErr w:type="spellEnd"/>
      <w:r w:rsidR="00C351F4" w:rsidRPr="00022DEB">
        <w:rPr>
          <w:rFonts w:cs="Tahoma"/>
          <w:lang w:val="en-GB"/>
        </w:rPr>
        <w:t>, without delay.</w:t>
      </w:r>
      <w:r w:rsidR="00EE7217" w:rsidRPr="00022DEB">
        <w:rPr>
          <w:rStyle w:val="FootnoteReference"/>
          <w:rFonts w:cs="Tahoma"/>
          <w:lang w:val="en-GB"/>
        </w:rPr>
        <w:footnoteReference w:id="9"/>
      </w:r>
      <w:r w:rsidR="00C351F4" w:rsidRPr="00022DEB">
        <w:rPr>
          <w:rFonts w:cs="Tahoma"/>
          <w:lang w:val="en-GB"/>
        </w:rPr>
        <w:t xml:space="preserve"> </w:t>
      </w:r>
    </w:p>
    <w:p w:rsidR="00C351F4" w:rsidRPr="00022DEB" w:rsidRDefault="00C351F4" w:rsidP="00022DEB">
      <w:pPr>
        <w:widowControl w:val="0"/>
        <w:jc w:val="both"/>
        <w:rPr>
          <w:rFonts w:cs="Tahoma"/>
          <w:lang w:val="en-GB"/>
        </w:rPr>
      </w:pPr>
    </w:p>
    <w:p w:rsidR="00C351F4" w:rsidRPr="00022DEB" w:rsidRDefault="0015348A" w:rsidP="00022DEB">
      <w:pPr>
        <w:widowControl w:val="0"/>
        <w:numPr>
          <w:ilvl w:val="0"/>
          <w:numId w:val="5"/>
        </w:numPr>
        <w:tabs>
          <w:tab w:val="clear" w:pos="360"/>
          <w:tab w:val="num" w:pos="0"/>
        </w:tabs>
        <w:ind w:left="0" w:firstLine="0"/>
        <w:jc w:val="both"/>
        <w:rPr>
          <w:rFonts w:cs="Tahoma"/>
          <w:lang w:val="en-GB"/>
        </w:rPr>
      </w:pPr>
      <w:r w:rsidRPr="00022DEB">
        <w:rPr>
          <w:rFonts w:cs="Tahoma"/>
          <w:lang w:val="en-GB"/>
        </w:rPr>
        <w:t>In Working Group II focusing on the humanitarian situation</w:t>
      </w:r>
      <w:r w:rsidR="00C351F4" w:rsidRPr="00022DEB">
        <w:rPr>
          <w:rFonts w:cs="Tahoma"/>
          <w:lang w:val="en-GB"/>
        </w:rPr>
        <w:t xml:space="preserve"> on the ground</w:t>
      </w:r>
      <w:r w:rsidRPr="00022DEB">
        <w:rPr>
          <w:rFonts w:cs="Tahoma"/>
          <w:lang w:val="en-GB"/>
        </w:rPr>
        <w:t>, participants continued to discuss</w:t>
      </w:r>
      <w:r w:rsidR="00E30F28">
        <w:rPr>
          <w:rFonts w:cs="Tahoma"/>
          <w:lang w:val="en-GB"/>
        </w:rPr>
        <w:t>,</w:t>
      </w:r>
      <w:r w:rsidRPr="00022DEB">
        <w:rPr>
          <w:rFonts w:cs="Tahoma"/>
          <w:lang w:val="en-GB"/>
        </w:rPr>
        <w:t xml:space="preserve"> </w:t>
      </w:r>
      <w:r w:rsidR="00C351F4" w:rsidRPr="00022DEB">
        <w:rPr>
          <w:rFonts w:cs="Tahoma"/>
          <w:lang w:val="en-GB"/>
        </w:rPr>
        <w:t>in particular</w:t>
      </w:r>
      <w:r w:rsidR="00E30F28">
        <w:rPr>
          <w:rFonts w:cs="Tahoma"/>
          <w:lang w:val="en-GB"/>
        </w:rPr>
        <w:t>,</w:t>
      </w:r>
      <w:r w:rsidR="00C351F4" w:rsidRPr="00022DEB">
        <w:rPr>
          <w:rFonts w:cs="Tahoma"/>
          <w:lang w:val="en-GB"/>
        </w:rPr>
        <w:t xml:space="preserve"> issues relating to missing persons, freedom of movement, health</w:t>
      </w:r>
      <w:r w:rsidR="00E30F28">
        <w:rPr>
          <w:rFonts w:cs="Tahoma"/>
          <w:lang w:val="en-GB"/>
        </w:rPr>
        <w:t xml:space="preserve"> </w:t>
      </w:r>
      <w:r w:rsidR="00C351F4" w:rsidRPr="00022DEB">
        <w:rPr>
          <w:rFonts w:cs="Tahoma"/>
          <w:lang w:val="en-GB"/>
        </w:rPr>
        <w:t>care, documentation, education, livelihoods and environmental concerns.</w:t>
      </w:r>
      <w:r w:rsidRPr="00022DEB">
        <w:rPr>
          <w:rFonts w:cs="Tahoma"/>
          <w:lang w:val="en-GB"/>
        </w:rPr>
        <w:t xml:space="preserve"> </w:t>
      </w:r>
      <w:r w:rsidR="00C351F4" w:rsidRPr="00022DEB">
        <w:rPr>
          <w:rFonts w:cs="Tahoma"/>
          <w:lang w:val="en-GB"/>
        </w:rPr>
        <w:t>In view of the fact that some participants walked out before the issue of IDPs/refugees could be addressed, the Co-C</w:t>
      </w:r>
      <w:r w:rsidRPr="00022DEB">
        <w:rPr>
          <w:rFonts w:cs="Tahoma"/>
          <w:lang w:val="en-GB"/>
        </w:rPr>
        <w:t xml:space="preserve">hairs </w:t>
      </w:r>
      <w:r w:rsidR="00C351F4" w:rsidRPr="00022DEB">
        <w:rPr>
          <w:rFonts w:cs="Tahoma"/>
          <w:lang w:val="en-GB"/>
        </w:rPr>
        <w:t>have renewed</w:t>
      </w:r>
      <w:r w:rsidRPr="00022DEB">
        <w:rPr>
          <w:rFonts w:cs="Tahoma"/>
          <w:lang w:val="en-GB"/>
        </w:rPr>
        <w:t xml:space="preserve"> their call to the participants to engage constructively o</w:t>
      </w:r>
      <w:r w:rsidR="00C83646" w:rsidRPr="00022DEB">
        <w:rPr>
          <w:rFonts w:cs="Tahoma"/>
          <w:lang w:val="en-GB"/>
        </w:rPr>
        <w:t xml:space="preserve">n all agenda items. </w:t>
      </w:r>
    </w:p>
    <w:p w:rsidR="00C351F4" w:rsidRPr="00022DEB" w:rsidRDefault="00C351F4" w:rsidP="00022DEB">
      <w:pPr>
        <w:widowControl w:val="0"/>
        <w:jc w:val="both"/>
        <w:rPr>
          <w:rFonts w:cs="Tahoma"/>
          <w:lang w:val="en-GB"/>
        </w:rPr>
      </w:pPr>
    </w:p>
    <w:p w:rsidR="001C1D8C" w:rsidRPr="00022DEB" w:rsidRDefault="00780386" w:rsidP="00E30F28">
      <w:pPr>
        <w:widowControl w:val="0"/>
        <w:numPr>
          <w:ilvl w:val="0"/>
          <w:numId w:val="5"/>
        </w:numPr>
        <w:tabs>
          <w:tab w:val="clear" w:pos="360"/>
        </w:tabs>
        <w:ind w:left="0" w:firstLine="0"/>
        <w:jc w:val="both"/>
        <w:rPr>
          <w:rFonts w:cs="Tahoma"/>
          <w:lang w:val="en-GB"/>
        </w:rPr>
      </w:pPr>
      <w:r w:rsidRPr="00022DEB">
        <w:rPr>
          <w:rFonts w:cs="Tahoma"/>
          <w:lang w:val="en-GB"/>
        </w:rPr>
        <w:t>While all GID participants</w:t>
      </w:r>
      <w:r w:rsidR="00B65C0C" w:rsidRPr="00022DEB">
        <w:rPr>
          <w:rFonts w:cs="Tahoma"/>
          <w:lang w:val="en-GB"/>
        </w:rPr>
        <w:t xml:space="preserve"> </w:t>
      </w:r>
      <w:r w:rsidRPr="00022DEB">
        <w:rPr>
          <w:rFonts w:cs="Tahoma"/>
          <w:lang w:val="en-GB"/>
        </w:rPr>
        <w:t xml:space="preserve">continued to </w:t>
      </w:r>
      <w:r w:rsidR="0015348A" w:rsidRPr="00022DEB">
        <w:rPr>
          <w:rFonts w:cs="Tahoma"/>
          <w:lang w:val="en-GB"/>
        </w:rPr>
        <w:t xml:space="preserve">express commitment to the GID as the only forum </w:t>
      </w:r>
      <w:r w:rsidRPr="00022DEB">
        <w:rPr>
          <w:rFonts w:cs="Tahoma"/>
          <w:lang w:val="en-GB"/>
        </w:rPr>
        <w:t xml:space="preserve">for engaging </w:t>
      </w:r>
      <w:r w:rsidR="0015348A" w:rsidRPr="00022DEB">
        <w:rPr>
          <w:rFonts w:cs="Tahoma"/>
          <w:lang w:val="en-GB"/>
        </w:rPr>
        <w:t>in the aftermath of the 2008 conflict</w:t>
      </w:r>
      <w:r w:rsidR="00EF4BF3" w:rsidRPr="00022DEB">
        <w:rPr>
          <w:rFonts w:cs="Tahoma"/>
          <w:lang w:val="en-GB"/>
        </w:rPr>
        <w:t xml:space="preserve">, the need to make progress </w:t>
      </w:r>
      <w:r w:rsidR="00C276B5" w:rsidRPr="00022DEB">
        <w:rPr>
          <w:rFonts w:cs="Tahoma"/>
          <w:lang w:val="en-GB"/>
        </w:rPr>
        <w:t xml:space="preserve">towards conflict resolution </w:t>
      </w:r>
      <w:r w:rsidR="00EF4BF3" w:rsidRPr="00022DEB">
        <w:rPr>
          <w:rFonts w:cs="Tahoma"/>
          <w:lang w:val="en-GB"/>
        </w:rPr>
        <w:t>has been acknowledged and</w:t>
      </w:r>
      <w:r w:rsidR="001C1D8C" w:rsidRPr="00022DEB">
        <w:rPr>
          <w:rFonts w:cs="Tahoma"/>
          <w:lang w:val="en-GB"/>
        </w:rPr>
        <w:t xml:space="preserve"> stressed on several occasions. </w:t>
      </w:r>
      <w:r w:rsidR="00EF4BF3" w:rsidRPr="00022DEB">
        <w:rPr>
          <w:rFonts w:cs="Tahoma"/>
          <w:lang w:val="en-GB"/>
        </w:rPr>
        <w:t xml:space="preserve">During the last round, the Co-Chairs reiterated their commitment to working with the participants to revitalise the GID process, to make it more effective and result-oriented. </w:t>
      </w:r>
    </w:p>
    <w:p w:rsidR="001C1D8C" w:rsidRDefault="001C1D8C" w:rsidP="00E30F28">
      <w:pPr>
        <w:widowControl w:val="0"/>
        <w:jc w:val="both"/>
        <w:rPr>
          <w:rFonts w:cs="Tahoma"/>
          <w:lang w:val="en-GB"/>
        </w:rPr>
      </w:pPr>
    </w:p>
    <w:p w:rsidR="00E30F28" w:rsidRDefault="00E30F28" w:rsidP="00E30F28">
      <w:pPr>
        <w:widowControl w:val="0"/>
        <w:jc w:val="both"/>
        <w:rPr>
          <w:rFonts w:cs="Tahoma"/>
          <w:lang w:val="en-GB"/>
        </w:rPr>
      </w:pPr>
    </w:p>
    <w:p w:rsidR="00E30F28" w:rsidRPr="00022DEB" w:rsidRDefault="00E30F28" w:rsidP="00E30F28">
      <w:pPr>
        <w:widowControl w:val="0"/>
        <w:jc w:val="both"/>
        <w:rPr>
          <w:rFonts w:cs="Tahoma"/>
          <w:lang w:val="en-GB"/>
        </w:rPr>
      </w:pPr>
    </w:p>
    <w:p w:rsidR="0015348A" w:rsidRPr="00022DEB" w:rsidRDefault="003029F7" w:rsidP="00E30F28">
      <w:pPr>
        <w:keepNext/>
        <w:numPr>
          <w:ilvl w:val="0"/>
          <w:numId w:val="5"/>
        </w:numPr>
        <w:tabs>
          <w:tab w:val="clear" w:pos="360"/>
        </w:tabs>
        <w:ind w:left="0" w:firstLine="0"/>
        <w:jc w:val="both"/>
        <w:rPr>
          <w:rFonts w:cs="Tahoma"/>
          <w:lang w:val="en-GB"/>
        </w:rPr>
      </w:pPr>
      <w:r w:rsidRPr="00022DEB">
        <w:rPr>
          <w:rFonts w:cs="Tahoma"/>
          <w:lang w:val="en-GB"/>
        </w:rPr>
        <w:lastRenderedPageBreak/>
        <w:t>Represe</w:t>
      </w:r>
      <w:r w:rsidR="00F07119" w:rsidRPr="00022DEB">
        <w:rPr>
          <w:rFonts w:cs="Tahoma"/>
          <w:lang w:val="en-GB"/>
        </w:rPr>
        <w:t xml:space="preserve">ntatives of the Georgian central government </w:t>
      </w:r>
      <w:r w:rsidR="001C1D8C" w:rsidRPr="00022DEB">
        <w:rPr>
          <w:rFonts w:cs="Tahoma"/>
          <w:lang w:val="en-GB"/>
        </w:rPr>
        <w:t>emphasised to the delegation</w:t>
      </w:r>
      <w:r w:rsidR="00754FEC" w:rsidRPr="00022DEB">
        <w:rPr>
          <w:rFonts w:cs="Tahoma"/>
          <w:lang w:val="en-GB"/>
        </w:rPr>
        <w:t xml:space="preserve"> that it was particularly important not to lose the momentum achieved in </w:t>
      </w:r>
      <w:r w:rsidR="00E30F28">
        <w:rPr>
          <w:rFonts w:cs="Tahoma"/>
          <w:lang w:val="en-GB"/>
        </w:rPr>
        <w:t>recent</w:t>
      </w:r>
      <w:r w:rsidR="00754FEC" w:rsidRPr="00022DEB">
        <w:rPr>
          <w:rFonts w:cs="Tahoma"/>
          <w:lang w:val="en-GB"/>
        </w:rPr>
        <w:t xml:space="preserve"> years, on the issue of non-use</w:t>
      </w:r>
      <w:r w:rsidR="00C276B5" w:rsidRPr="00022DEB">
        <w:rPr>
          <w:rFonts w:cs="Tahoma"/>
          <w:lang w:val="en-GB"/>
        </w:rPr>
        <w:t xml:space="preserve"> of force. They reiterated their position that such a commitment should be backed by international security arrangements on the ground. They </w:t>
      </w:r>
      <w:r w:rsidR="004D59EA" w:rsidRPr="00022DEB">
        <w:rPr>
          <w:rFonts w:cs="Tahoma"/>
          <w:lang w:val="en-GB"/>
        </w:rPr>
        <w:t>also underlined the urgent need to make progress on the</w:t>
      </w:r>
      <w:r w:rsidR="00C276B5" w:rsidRPr="00022DEB">
        <w:rPr>
          <w:rFonts w:cs="Tahoma"/>
          <w:lang w:val="en-GB"/>
        </w:rPr>
        <w:t xml:space="preserve"> issue of safe, voluntary and dignified return of the IDPs</w:t>
      </w:r>
      <w:r w:rsidR="00FF48E0" w:rsidRPr="00022DEB">
        <w:rPr>
          <w:rFonts w:cs="Tahoma"/>
          <w:lang w:val="en-GB"/>
        </w:rPr>
        <w:t>/refugees.</w:t>
      </w:r>
    </w:p>
    <w:p w:rsidR="00780386" w:rsidRPr="00022DEB" w:rsidRDefault="00780386" w:rsidP="00B66006">
      <w:pPr>
        <w:widowControl w:val="0"/>
        <w:jc w:val="both"/>
        <w:rPr>
          <w:rFonts w:cs="Tahoma"/>
          <w:lang w:val="en-GB"/>
        </w:rPr>
      </w:pPr>
    </w:p>
    <w:p w:rsidR="00EE7217" w:rsidRPr="00022DEB" w:rsidRDefault="00C276B5" w:rsidP="00E30F28">
      <w:pPr>
        <w:widowControl w:val="0"/>
        <w:numPr>
          <w:ilvl w:val="0"/>
          <w:numId w:val="5"/>
        </w:numPr>
        <w:tabs>
          <w:tab w:val="clear" w:pos="360"/>
        </w:tabs>
        <w:ind w:left="0" w:firstLine="0"/>
        <w:jc w:val="both"/>
        <w:rPr>
          <w:rFonts w:cs="Tahoma"/>
          <w:lang w:val="en-GB"/>
        </w:rPr>
      </w:pPr>
      <w:r w:rsidRPr="00022DEB">
        <w:rPr>
          <w:rFonts w:cs="Tahoma"/>
          <w:lang w:val="en-GB"/>
        </w:rPr>
        <w:t xml:space="preserve">The overall security situation on the ground during the reporting period was assessed by the GID Co-Chairs and participants as relatively calm and stable. </w:t>
      </w:r>
      <w:r w:rsidR="0087732F" w:rsidRPr="00022DEB">
        <w:rPr>
          <w:rFonts w:cs="Tahoma"/>
          <w:lang w:val="en-GB"/>
        </w:rPr>
        <w:t xml:space="preserve">Whereas the IPRM in </w:t>
      </w:r>
      <w:proofErr w:type="spellStart"/>
      <w:r w:rsidR="0087732F" w:rsidRPr="00022DEB">
        <w:rPr>
          <w:rFonts w:cs="Tahoma"/>
          <w:lang w:val="en-GB"/>
        </w:rPr>
        <w:t>Gali</w:t>
      </w:r>
      <w:proofErr w:type="spellEnd"/>
      <w:r w:rsidR="0087732F" w:rsidRPr="00022DEB">
        <w:rPr>
          <w:rFonts w:cs="Tahoma"/>
          <w:lang w:val="en-GB"/>
        </w:rPr>
        <w:t xml:space="preserve"> </w:t>
      </w:r>
      <w:r w:rsidR="00A4487C" w:rsidRPr="00022DEB">
        <w:rPr>
          <w:rFonts w:cs="Tahoma"/>
          <w:lang w:val="en-GB"/>
        </w:rPr>
        <w:t>remains suspended</w:t>
      </w:r>
      <w:r w:rsidR="0087732F" w:rsidRPr="00022DEB">
        <w:rPr>
          <w:rFonts w:cs="Tahoma"/>
          <w:lang w:val="en-GB"/>
        </w:rPr>
        <w:t xml:space="preserve">, </w:t>
      </w:r>
      <w:r w:rsidR="00AF1440" w:rsidRPr="00022DEB">
        <w:rPr>
          <w:rFonts w:cs="Tahoma"/>
          <w:lang w:val="en-GB"/>
        </w:rPr>
        <w:t xml:space="preserve">the </w:t>
      </w:r>
      <w:proofErr w:type="spellStart"/>
      <w:r w:rsidR="003029F7" w:rsidRPr="00022DEB">
        <w:rPr>
          <w:rFonts w:cs="Tahoma"/>
          <w:lang w:val="en-GB"/>
        </w:rPr>
        <w:t>Ergneti</w:t>
      </w:r>
      <w:proofErr w:type="spellEnd"/>
      <w:r w:rsidR="003029F7" w:rsidRPr="00022DEB">
        <w:rPr>
          <w:rFonts w:cs="Tahoma"/>
          <w:lang w:val="en-GB"/>
        </w:rPr>
        <w:t xml:space="preserve"> IPRM </w:t>
      </w:r>
      <w:r w:rsidR="00AF1440" w:rsidRPr="00022DEB">
        <w:rPr>
          <w:rFonts w:cs="Tahoma"/>
          <w:lang w:val="en-GB"/>
        </w:rPr>
        <w:t xml:space="preserve">restarted </w:t>
      </w:r>
      <w:r w:rsidR="0087732F" w:rsidRPr="00022DEB">
        <w:rPr>
          <w:rFonts w:cs="Tahoma"/>
          <w:lang w:val="en-GB"/>
        </w:rPr>
        <w:t>in December 2018.</w:t>
      </w:r>
      <w:r w:rsidR="003029F7" w:rsidRPr="00022DEB">
        <w:rPr>
          <w:rFonts w:cs="Tahoma"/>
          <w:lang w:val="en-GB"/>
        </w:rPr>
        <w:t xml:space="preserve"> </w:t>
      </w:r>
      <w:r w:rsidR="00A55C46" w:rsidRPr="00022DEB">
        <w:rPr>
          <w:rFonts w:cs="Tahoma"/>
          <w:lang w:val="en-GB"/>
        </w:rPr>
        <w:t>At the same time, t</w:t>
      </w:r>
      <w:r w:rsidR="00466A83" w:rsidRPr="00022DEB">
        <w:rPr>
          <w:rFonts w:cs="Tahoma"/>
          <w:lang w:val="en-GB"/>
        </w:rPr>
        <w:t xml:space="preserve">he broader </w:t>
      </w:r>
      <w:r w:rsidR="00DB56A5" w:rsidRPr="00022DEB">
        <w:rPr>
          <w:rFonts w:cs="Tahoma"/>
          <w:lang w:val="en-GB"/>
        </w:rPr>
        <w:t>security context</w:t>
      </w:r>
      <w:r w:rsidR="00466A83" w:rsidRPr="00022DEB">
        <w:rPr>
          <w:rFonts w:cs="Tahoma"/>
          <w:lang w:val="en-GB"/>
        </w:rPr>
        <w:t xml:space="preserve"> continued to be marked by widely </w:t>
      </w:r>
      <w:r w:rsidR="004E2332" w:rsidRPr="00022DEB">
        <w:rPr>
          <w:rFonts w:cs="Tahoma"/>
          <w:lang w:val="en-GB"/>
        </w:rPr>
        <w:t>divergent</w:t>
      </w:r>
      <w:r w:rsidR="00466A83" w:rsidRPr="00022DEB">
        <w:rPr>
          <w:rFonts w:cs="Tahoma"/>
          <w:lang w:val="en-GB"/>
        </w:rPr>
        <w:t xml:space="preserve"> views and approaches</w:t>
      </w:r>
      <w:r w:rsidR="00E034D4" w:rsidRPr="00022DEB">
        <w:rPr>
          <w:rFonts w:cs="Tahoma"/>
          <w:lang w:val="en-GB"/>
        </w:rPr>
        <w:t xml:space="preserve">. </w:t>
      </w:r>
    </w:p>
    <w:p w:rsidR="00EE7217" w:rsidRPr="00022DEB" w:rsidRDefault="00EE7217" w:rsidP="00B66006">
      <w:pPr>
        <w:widowControl w:val="0"/>
        <w:jc w:val="both"/>
        <w:rPr>
          <w:rFonts w:cs="Tahoma"/>
          <w:lang w:val="en-GB"/>
        </w:rPr>
      </w:pPr>
    </w:p>
    <w:p w:rsidR="00DB56A5" w:rsidRPr="00022DEB" w:rsidRDefault="004E2332" w:rsidP="00E30F28">
      <w:pPr>
        <w:widowControl w:val="0"/>
        <w:numPr>
          <w:ilvl w:val="0"/>
          <w:numId w:val="5"/>
        </w:numPr>
        <w:tabs>
          <w:tab w:val="clear" w:pos="360"/>
        </w:tabs>
        <w:ind w:left="0" w:firstLine="0"/>
        <w:jc w:val="both"/>
        <w:rPr>
          <w:rFonts w:cs="Tahoma"/>
          <w:lang w:val="en-GB"/>
        </w:rPr>
      </w:pPr>
      <w:r w:rsidRPr="00022DEB">
        <w:rPr>
          <w:rFonts w:cs="Tahoma"/>
          <w:lang w:val="en-GB"/>
        </w:rPr>
        <w:t xml:space="preserve">The Georgian government </w:t>
      </w:r>
      <w:r w:rsidR="00A55C46" w:rsidRPr="00022DEB">
        <w:rPr>
          <w:rFonts w:cs="Tahoma"/>
          <w:lang w:val="en-GB"/>
        </w:rPr>
        <w:t xml:space="preserve">along with a large part of </w:t>
      </w:r>
      <w:r w:rsidR="00B66006">
        <w:rPr>
          <w:rFonts w:cs="Tahoma"/>
          <w:lang w:val="en-GB"/>
        </w:rPr>
        <w:t xml:space="preserve">the </w:t>
      </w:r>
      <w:r w:rsidR="00A55C46" w:rsidRPr="00022DEB">
        <w:rPr>
          <w:rFonts w:cs="Tahoma"/>
          <w:lang w:val="en-GB"/>
        </w:rPr>
        <w:t>international</w:t>
      </w:r>
      <w:r w:rsidR="00403634" w:rsidRPr="00022DEB">
        <w:rPr>
          <w:rFonts w:cs="Tahoma"/>
          <w:lang w:val="en-GB"/>
        </w:rPr>
        <w:t xml:space="preserve"> </w:t>
      </w:r>
      <w:r w:rsidR="00A55C46" w:rsidRPr="00022DEB">
        <w:rPr>
          <w:rFonts w:cs="Tahoma"/>
          <w:lang w:val="en-GB"/>
        </w:rPr>
        <w:t>community</w:t>
      </w:r>
      <w:r w:rsidRPr="00022DEB">
        <w:rPr>
          <w:rFonts w:cs="Tahoma"/>
          <w:lang w:val="en-GB"/>
        </w:rPr>
        <w:t xml:space="preserve"> continued to object resolutely to Russia’s recognition of independence of Abkhazia and South Ossetia</w:t>
      </w:r>
      <w:r w:rsidR="00DB56A5" w:rsidRPr="00022DEB">
        <w:rPr>
          <w:rFonts w:cs="Tahoma"/>
          <w:lang w:val="en-GB"/>
        </w:rPr>
        <w:t xml:space="preserve">, as well as </w:t>
      </w:r>
      <w:r w:rsidR="005462B8">
        <w:rPr>
          <w:rFonts w:cs="Tahoma"/>
          <w:lang w:val="en-GB"/>
        </w:rPr>
        <w:t xml:space="preserve">to </w:t>
      </w:r>
      <w:r w:rsidR="00DB56A5" w:rsidRPr="00022DEB">
        <w:rPr>
          <w:rFonts w:cs="Tahoma"/>
          <w:lang w:val="en-GB"/>
        </w:rPr>
        <w:t>the presence o</w:t>
      </w:r>
      <w:r w:rsidR="004954F0" w:rsidRPr="00022DEB">
        <w:rPr>
          <w:rFonts w:cs="Tahoma"/>
          <w:lang w:val="en-GB"/>
        </w:rPr>
        <w:t xml:space="preserve">f Russian military bases </w:t>
      </w:r>
      <w:r w:rsidR="00A7658C" w:rsidRPr="00022DEB">
        <w:rPr>
          <w:rFonts w:cs="Tahoma"/>
          <w:lang w:val="en-GB"/>
        </w:rPr>
        <w:t>on these territories</w:t>
      </w:r>
      <w:r w:rsidR="00E034D4" w:rsidRPr="00022DEB">
        <w:rPr>
          <w:rFonts w:cs="Tahoma"/>
          <w:lang w:val="en-GB"/>
        </w:rPr>
        <w:t xml:space="preserve">, </w:t>
      </w:r>
      <w:r w:rsidR="004954F0" w:rsidRPr="00022DEB">
        <w:rPr>
          <w:rFonts w:cs="Tahoma"/>
          <w:lang w:val="en-GB"/>
        </w:rPr>
        <w:t xml:space="preserve">stressing </w:t>
      </w:r>
      <w:r w:rsidR="00E034D4" w:rsidRPr="00022DEB">
        <w:rPr>
          <w:rFonts w:cs="Tahoma"/>
          <w:lang w:val="en-GB"/>
        </w:rPr>
        <w:t>Georgia’s sovereignty and territorial integrity</w:t>
      </w:r>
      <w:r w:rsidRPr="00022DEB">
        <w:rPr>
          <w:rFonts w:cs="Tahoma"/>
          <w:lang w:val="en-GB"/>
        </w:rPr>
        <w:t xml:space="preserve">. </w:t>
      </w:r>
      <w:r w:rsidR="0087732F" w:rsidRPr="00022DEB">
        <w:rPr>
          <w:rFonts w:cs="Tahoma"/>
          <w:lang w:val="en-GB"/>
        </w:rPr>
        <w:t xml:space="preserve">Security </w:t>
      </w:r>
      <w:r w:rsidR="00143E44" w:rsidRPr="00022DEB">
        <w:rPr>
          <w:rFonts w:cs="Tahoma"/>
          <w:lang w:val="en-GB"/>
        </w:rPr>
        <w:t xml:space="preserve">actors </w:t>
      </w:r>
      <w:r w:rsidR="0087732F" w:rsidRPr="00022DEB">
        <w:rPr>
          <w:rFonts w:cs="Tahoma"/>
          <w:lang w:val="en-GB"/>
        </w:rPr>
        <w:t xml:space="preserve">met by the delegation </w:t>
      </w:r>
      <w:r w:rsidR="00143E44" w:rsidRPr="00022DEB">
        <w:rPr>
          <w:rFonts w:cs="Tahoma"/>
          <w:lang w:val="en-GB"/>
        </w:rPr>
        <w:t xml:space="preserve">highlighted </w:t>
      </w:r>
      <w:r w:rsidR="0087732F" w:rsidRPr="00022DEB">
        <w:rPr>
          <w:rFonts w:cs="Tahoma"/>
          <w:lang w:val="en-GB"/>
        </w:rPr>
        <w:t xml:space="preserve">that the number and the frequency of military </w:t>
      </w:r>
      <w:r w:rsidR="00E2786D" w:rsidRPr="00022DEB">
        <w:rPr>
          <w:rFonts w:cs="Tahoma"/>
          <w:lang w:val="en-GB"/>
        </w:rPr>
        <w:t xml:space="preserve">exercises </w:t>
      </w:r>
      <w:r w:rsidR="00143E44" w:rsidRPr="00022DEB">
        <w:rPr>
          <w:rFonts w:cs="Tahoma"/>
          <w:lang w:val="en-GB"/>
        </w:rPr>
        <w:t xml:space="preserve">in the region </w:t>
      </w:r>
      <w:r w:rsidR="0087732F" w:rsidRPr="00022DEB">
        <w:rPr>
          <w:rFonts w:cs="Tahoma"/>
          <w:lang w:val="en-GB"/>
        </w:rPr>
        <w:t>h</w:t>
      </w:r>
      <w:r w:rsidR="00B66006">
        <w:rPr>
          <w:rFonts w:cs="Tahoma"/>
          <w:lang w:val="en-GB"/>
        </w:rPr>
        <w:t>ad</w:t>
      </w:r>
      <w:r w:rsidR="0087732F" w:rsidRPr="00022DEB">
        <w:rPr>
          <w:rFonts w:cs="Tahoma"/>
          <w:lang w:val="en-GB"/>
        </w:rPr>
        <w:t xml:space="preserve"> </w:t>
      </w:r>
      <w:r w:rsidR="005462B8">
        <w:rPr>
          <w:rFonts w:cs="Tahoma"/>
          <w:lang w:val="en-GB"/>
        </w:rPr>
        <w:t xml:space="preserve">regrettably </w:t>
      </w:r>
      <w:r w:rsidR="0087732F" w:rsidRPr="00022DEB">
        <w:rPr>
          <w:rFonts w:cs="Tahoma"/>
          <w:lang w:val="en-GB"/>
        </w:rPr>
        <w:t xml:space="preserve">increased. </w:t>
      </w:r>
    </w:p>
    <w:p w:rsidR="00DB56A5" w:rsidRPr="00022DEB" w:rsidRDefault="00DB56A5" w:rsidP="00B66006">
      <w:pPr>
        <w:widowControl w:val="0"/>
        <w:jc w:val="both"/>
        <w:rPr>
          <w:rFonts w:cs="Tahoma"/>
          <w:lang w:val="en-GB"/>
        </w:rPr>
      </w:pPr>
    </w:p>
    <w:p w:rsidR="00026363" w:rsidRPr="00380DE3" w:rsidRDefault="00E034D4" w:rsidP="00026363">
      <w:pPr>
        <w:widowControl w:val="0"/>
        <w:numPr>
          <w:ilvl w:val="0"/>
          <w:numId w:val="5"/>
        </w:numPr>
        <w:tabs>
          <w:tab w:val="clear" w:pos="360"/>
        </w:tabs>
        <w:ind w:left="0" w:firstLine="0"/>
        <w:jc w:val="both"/>
        <w:rPr>
          <w:rFonts w:cs="Tahoma"/>
        </w:rPr>
      </w:pPr>
      <w:r w:rsidRPr="00022DEB">
        <w:rPr>
          <w:rFonts w:cs="Tahoma"/>
          <w:lang w:val="en-GB"/>
        </w:rPr>
        <w:t>Moreover</w:t>
      </w:r>
      <w:r w:rsidR="00DB56A5" w:rsidRPr="00022DEB">
        <w:rPr>
          <w:rFonts w:cs="Tahoma"/>
          <w:lang w:val="en-GB"/>
        </w:rPr>
        <w:t xml:space="preserve">, the delegation’s interlocutors converged </w:t>
      </w:r>
      <w:r w:rsidR="00646810" w:rsidRPr="00022DEB">
        <w:rPr>
          <w:rFonts w:cs="Tahoma"/>
          <w:lang w:val="en-GB"/>
        </w:rPr>
        <w:t>in</w:t>
      </w:r>
      <w:r w:rsidR="00DB56A5" w:rsidRPr="00022DEB">
        <w:rPr>
          <w:rFonts w:cs="Tahoma"/>
          <w:lang w:val="en-GB"/>
        </w:rPr>
        <w:t xml:space="preserve"> their assessment that the humanitarian and human rights</w:t>
      </w:r>
      <w:r w:rsidR="00026363">
        <w:rPr>
          <w:rFonts w:cs="Tahoma"/>
          <w:lang w:val="en-GB"/>
        </w:rPr>
        <w:t>’ situation</w:t>
      </w:r>
      <w:r w:rsidR="00DB56A5" w:rsidRPr="00022DEB">
        <w:rPr>
          <w:rFonts w:cs="Tahoma"/>
          <w:lang w:val="en-GB"/>
        </w:rPr>
        <w:t xml:space="preserve"> in conflict-affected regions ha</w:t>
      </w:r>
      <w:r w:rsidR="00B66006">
        <w:rPr>
          <w:rFonts w:cs="Tahoma"/>
          <w:lang w:val="en-GB"/>
        </w:rPr>
        <w:t>d</w:t>
      </w:r>
      <w:r w:rsidR="00DB56A5" w:rsidRPr="00022DEB">
        <w:rPr>
          <w:rFonts w:cs="Tahoma"/>
          <w:lang w:val="en-GB"/>
        </w:rPr>
        <w:t xml:space="preserve"> further worsened</w:t>
      </w:r>
      <w:r w:rsidR="00A4487C" w:rsidRPr="00022DEB">
        <w:rPr>
          <w:rFonts w:cs="Tahoma"/>
          <w:lang w:val="en-GB"/>
        </w:rPr>
        <w:t>, mainly due to increased restrictions on freedom of movement</w:t>
      </w:r>
      <w:r w:rsidR="00DB56A5" w:rsidRPr="00022DEB">
        <w:rPr>
          <w:rFonts w:cs="Tahoma"/>
          <w:lang w:val="en-GB"/>
        </w:rPr>
        <w:t xml:space="preserve">. Serious concerns were raised in particular in connection </w:t>
      </w:r>
      <w:r w:rsidR="00A55C46" w:rsidRPr="00022DEB">
        <w:rPr>
          <w:rFonts w:cs="Tahoma"/>
          <w:lang w:val="en-GB"/>
        </w:rPr>
        <w:t>with</w:t>
      </w:r>
      <w:r w:rsidR="00A4487C" w:rsidRPr="00022DEB">
        <w:rPr>
          <w:rFonts w:cs="Tahoma"/>
          <w:lang w:val="en-GB"/>
        </w:rPr>
        <w:t xml:space="preserve"> the temporary closure of the </w:t>
      </w:r>
      <w:r w:rsidR="00143E44" w:rsidRPr="00022DEB">
        <w:rPr>
          <w:rFonts w:cs="Tahoma"/>
          <w:lang w:val="en-GB"/>
        </w:rPr>
        <w:t xml:space="preserve">Administrative </w:t>
      </w:r>
      <w:r w:rsidR="00A4487C" w:rsidRPr="00022DEB">
        <w:rPr>
          <w:rFonts w:cs="Tahoma"/>
          <w:lang w:val="en-GB"/>
        </w:rPr>
        <w:t>B</w:t>
      </w:r>
      <w:r w:rsidR="00143E44" w:rsidRPr="00022DEB">
        <w:rPr>
          <w:rFonts w:cs="Tahoma"/>
          <w:lang w:val="en-GB"/>
        </w:rPr>
        <w:t xml:space="preserve">oundary </w:t>
      </w:r>
      <w:r w:rsidR="00A4487C" w:rsidRPr="00022DEB">
        <w:rPr>
          <w:rFonts w:cs="Tahoma"/>
          <w:lang w:val="en-GB"/>
        </w:rPr>
        <w:t>L</w:t>
      </w:r>
      <w:r w:rsidR="00143E44" w:rsidRPr="00022DEB">
        <w:rPr>
          <w:rFonts w:cs="Tahoma"/>
          <w:lang w:val="en-GB"/>
        </w:rPr>
        <w:t>ine (ABL)</w:t>
      </w:r>
      <w:r w:rsidR="00A4487C" w:rsidRPr="00022DEB">
        <w:rPr>
          <w:rFonts w:cs="Tahoma"/>
          <w:lang w:val="en-GB"/>
        </w:rPr>
        <w:t xml:space="preserve"> by the </w:t>
      </w:r>
      <w:r w:rsidR="00A4487C" w:rsidRPr="00022DEB">
        <w:rPr>
          <w:rFonts w:cs="Tahoma"/>
          <w:i/>
          <w:lang w:val="en-GB"/>
        </w:rPr>
        <w:t>de facto</w:t>
      </w:r>
      <w:r w:rsidR="00A4487C" w:rsidRPr="00022DEB">
        <w:rPr>
          <w:rFonts w:cs="Tahoma"/>
          <w:lang w:val="en-GB"/>
        </w:rPr>
        <w:t xml:space="preserve"> authorities in Abkhazia and South Ossetia in </w:t>
      </w:r>
      <w:r w:rsidR="00DB56A5" w:rsidRPr="00022DEB">
        <w:rPr>
          <w:rFonts w:cs="Tahoma"/>
          <w:lang w:val="en-GB"/>
        </w:rPr>
        <w:t>January 2019</w:t>
      </w:r>
      <w:r w:rsidR="00B66006">
        <w:rPr>
          <w:rFonts w:cs="Tahoma"/>
          <w:lang w:val="en-GB"/>
        </w:rPr>
        <w:t>,</w:t>
      </w:r>
      <w:r w:rsidR="00DB56A5" w:rsidRPr="00022DEB">
        <w:rPr>
          <w:rFonts w:cs="Tahoma"/>
          <w:lang w:val="en-GB"/>
        </w:rPr>
        <w:t xml:space="preserve"> </w:t>
      </w:r>
      <w:r w:rsidR="004D59EA" w:rsidRPr="00022DEB">
        <w:rPr>
          <w:rFonts w:cs="Tahoma"/>
          <w:lang w:val="en-GB"/>
        </w:rPr>
        <w:t xml:space="preserve">which </w:t>
      </w:r>
      <w:r w:rsidR="00B66006">
        <w:rPr>
          <w:rFonts w:cs="Tahoma"/>
          <w:lang w:val="en-GB"/>
        </w:rPr>
        <w:t xml:space="preserve">- </w:t>
      </w:r>
      <w:r w:rsidR="00143E44" w:rsidRPr="00022DEB">
        <w:rPr>
          <w:rFonts w:cs="Tahoma"/>
          <w:lang w:val="en-GB"/>
        </w:rPr>
        <w:t xml:space="preserve">according to interlocutors in Tbilisi </w:t>
      </w:r>
      <w:r w:rsidR="00B66006">
        <w:rPr>
          <w:rFonts w:cs="Tahoma"/>
          <w:lang w:val="en-GB"/>
        </w:rPr>
        <w:t xml:space="preserve">- </w:t>
      </w:r>
      <w:r w:rsidR="004D59EA" w:rsidRPr="00022DEB">
        <w:rPr>
          <w:rFonts w:cs="Tahoma"/>
          <w:lang w:val="en-GB"/>
        </w:rPr>
        <w:t xml:space="preserve">has created </w:t>
      </w:r>
      <w:r w:rsidR="005462B8">
        <w:rPr>
          <w:rFonts w:cs="Tahoma"/>
          <w:lang w:val="en-GB"/>
        </w:rPr>
        <w:t xml:space="preserve">an extremely difficult </w:t>
      </w:r>
      <w:proofErr w:type="gramStart"/>
      <w:r w:rsidR="005462B8">
        <w:rPr>
          <w:rFonts w:cs="Tahoma"/>
          <w:lang w:val="en-GB"/>
        </w:rPr>
        <w:t xml:space="preserve">humanitarian </w:t>
      </w:r>
      <w:r w:rsidR="004D59EA" w:rsidRPr="00022DEB">
        <w:rPr>
          <w:rFonts w:cs="Tahoma"/>
          <w:lang w:val="en-GB"/>
        </w:rPr>
        <w:t xml:space="preserve"> situation</w:t>
      </w:r>
      <w:proofErr w:type="gramEnd"/>
      <w:r w:rsidR="004D59EA" w:rsidRPr="00022DEB">
        <w:rPr>
          <w:rFonts w:cs="Tahoma"/>
          <w:lang w:val="en-GB"/>
        </w:rPr>
        <w:t xml:space="preserve"> for </w:t>
      </w:r>
      <w:r w:rsidR="005462B8">
        <w:rPr>
          <w:rFonts w:cs="Tahoma"/>
          <w:lang w:val="en-GB"/>
        </w:rPr>
        <w:t xml:space="preserve">the </w:t>
      </w:r>
      <w:r w:rsidR="004D59EA" w:rsidRPr="00022DEB">
        <w:rPr>
          <w:rFonts w:cs="Tahoma"/>
          <w:lang w:val="en-GB"/>
        </w:rPr>
        <w:t>local population</w:t>
      </w:r>
      <w:r w:rsidR="005462B8">
        <w:rPr>
          <w:rFonts w:cs="Tahoma"/>
          <w:lang w:val="en-GB"/>
        </w:rPr>
        <w:t>,</w:t>
      </w:r>
      <w:r w:rsidR="001A4C94" w:rsidRPr="00022DEB">
        <w:rPr>
          <w:rFonts w:cs="Tahoma"/>
          <w:lang w:val="en-GB"/>
        </w:rPr>
        <w:t xml:space="preserve"> </w:t>
      </w:r>
      <w:r w:rsidR="00646810" w:rsidRPr="00022DEB">
        <w:rPr>
          <w:rFonts w:cs="Tahoma"/>
          <w:lang w:val="en-GB"/>
        </w:rPr>
        <w:t xml:space="preserve">while </w:t>
      </w:r>
      <w:r w:rsidR="001A4C94" w:rsidRPr="00022DEB">
        <w:rPr>
          <w:rFonts w:cs="Tahoma"/>
          <w:lang w:val="en-GB"/>
        </w:rPr>
        <w:t>hampering people-to-people contacts</w:t>
      </w:r>
      <w:r w:rsidR="00DB56A5" w:rsidRPr="00022DEB">
        <w:rPr>
          <w:rFonts w:cs="Tahoma"/>
          <w:lang w:val="en-GB"/>
        </w:rPr>
        <w:t xml:space="preserve">. </w:t>
      </w:r>
      <w:r w:rsidR="00A4487C" w:rsidRPr="00022DEB">
        <w:rPr>
          <w:rFonts w:cs="Tahoma"/>
          <w:lang w:val="en-GB"/>
        </w:rPr>
        <w:t xml:space="preserve">The so-called </w:t>
      </w:r>
      <w:r w:rsidR="00DB56A5" w:rsidRPr="00022DEB">
        <w:rPr>
          <w:rFonts w:cs="Tahoma"/>
          <w:lang w:val="en-GB"/>
        </w:rPr>
        <w:t>“</w:t>
      </w:r>
      <w:proofErr w:type="spellStart"/>
      <w:r w:rsidR="00DB56A5" w:rsidRPr="00022DEB">
        <w:rPr>
          <w:rFonts w:cs="Tahoma"/>
          <w:lang w:val="en-GB"/>
        </w:rPr>
        <w:t>borderisation</w:t>
      </w:r>
      <w:proofErr w:type="spellEnd"/>
      <w:r w:rsidR="00DB56A5" w:rsidRPr="00022DEB">
        <w:rPr>
          <w:rFonts w:cs="Tahoma"/>
          <w:lang w:val="en-GB"/>
        </w:rPr>
        <w:t xml:space="preserve">” </w:t>
      </w:r>
      <w:r w:rsidR="00A4487C" w:rsidRPr="00022DEB">
        <w:rPr>
          <w:rFonts w:cs="Tahoma"/>
          <w:lang w:val="en-GB"/>
        </w:rPr>
        <w:t xml:space="preserve">process </w:t>
      </w:r>
      <w:r w:rsidR="00246902" w:rsidRPr="00022DEB">
        <w:rPr>
          <w:rFonts w:cs="Tahoma"/>
          <w:lang w:val="en-GB"/>
        </w:rPr>
        <w:t>continued to</w:t>
      </w:r>
      <w:r w:rsidR="00A4487C" w:rsidRPr="00022DEB">
        <w:rPr>
          <w:rFonts w:cs="Tahoma"/>
          <w:lang w:val="en-GB"/>
        </w:rPr>
        <w:t xml:space="preserve"> </w:t>
      </w:r>
      <w:r w:rsidR="00DB56A5" w:rsidRPr="00022DEB">
        <w:rPr>
          <w:rFonts w:cs="Tahoma"/>
          <w:lang w:val="en-GB"/>
        </w:rPr>
        <w:t xml:space="preserve">trigger </w:t>
      </w:r>
      <w:r w:rsidR="005462B8">
        <w:rPr>
          <w:rFonts w:cs="Tahoma"/>
          <w:lang w:val="en-GB"/>
        </w:rPr>
        <w:t>wide-spread criticism</w:t>
      </w:r>
      <w:r w:rsidR="00DB56A5" w:rsidRPr="00022DEB">
        <w:rPr>
          <w:rFonts w:cs="Tahoma"/>
          <w:lang w:val="en-GB"/>
        </w:rPr>
        <w:t xml:space="preserve">. </w:t>
      </w:r>
    </w:p>
    <w:p w:rsidR="00026363" w:rsidRDefault="00026363" w:rsidP="00380DE3">
      <w:pPr>
        <w:pStyle w:val="ListParagraph"/>
        <w:rPr>
          <w:rFonts w:cs="Tahoma"/>
        </w:rPr>
      </w:pPr>
    </w:p>
    <w:p w:rsidR="006534B5" w:rsidRPr="00380DE3" w:rsidRDefault="00026363" w:rsidP="00380DE3">
      <w:pPr>
        <w:widowControl w:val="0"/>
        <w:numPr>
          <w:ilvl w:val="0"/>
          <w:numId w:val="5"/>
        </w:numPr>
        <w:tabs>
          <w:tab w:val="clear" w:pos="360"/>
        </w:tabs>
        <w:ind w:left="0" w:firstLine="0"/>
        <w:jc w:val="both"/>
        <w:rPr>
          <w:rFonts w:cs="Tahoma"/>
        </w:rPr>
      </w:pPr>
      <w:r w:rsidRPr="00026363">
        <w:rPr>
          <w:rFonts w:cs="Tahoma"/>
        </w:rPr>
        <w:t>Against this background, the death of a 29</w:t>
      </w:r>
      <w:r w:rsidR="00113305">
        <w:rPr>
          <w:rFonts w:cs="Tahoma"/>
        </w:rPr>
        <w:t>-</w:t>
      </w:r>
      <w:r w:rsidRPr="00026363">
        <w:rPr>
          <w:rFonts w:cs="Tahoma"/>
        </w:rPr>
        <w:t>year-old Georgian citizen in Abkhazia on 1</w:t>
      </w:r>
      <w:r w:rsidR="002B728B">
        <w:rPr>
          <w:rFonts w:cs="Tahoma"/>
        </w:rPr>
        <w:t xml:space="preserve">2 March raised serious concerns. </w:t>
      </w:r>
      <w:r w:rsidRPr="00026363">
        <w:rPr>
          <w:rFonts w:cs="Tahoma"/>
        </w:rPr>
        <w:t xml:space="preserve">According to the </w:t>
      </w:r>
      <w:r w:rsidRPr="00026363">
        <w:rPr>
          <w:rFonts w:cs="Tahoma"/>
          <w:i/>
        </w:rPr>
        <w:t>de facto</w:t>
      </w:r>
      <w:r w:rsidRPr="00026363">
        <w:rPr>
          <w:rFonts w:cs="Tahoma"/>
        </w:rPr>
        <w:t xml:space="preserve"> authorities of Abkhazia the victim committed suicide shortly after h</w:t>
      </w:r>
      <w:r w:rsidR="001C077C">
        <w:rPr>
          <w:rFonts w:cs="Tahoma"/>
        </w:rPr>
        <w:t>is</w:t>
      </w:r>
      <w:r w:rsidRPr="00026363">
        <w:rPr>
          <w:rFonts w:cs="Tahoma"/>
        </w:rPr>
        <w:t xml:space="preserve"> det</w:t>
      </w:r>
      <w:r w:rsidR="001C077C">
        <w:rPr>
          <w:rFonts w:cs="Tahoma"/>
        </w:rPr>
        <w:t>ention</w:t>
      </w:r>
      <w:r w:rsidRPr="00026363">
        <w:rPr>
          <w:rFonts w:cs="Tahoma"/>
        </w:rPr>
        <w:t xml:space="preserve"> for “illegal border crossing” on 10 March. The incident is reportedly being investigated. At the same time, in meetings with the delegation, representatives of the Georgian central government stressed the need to urgently address the issue of impunity for human rights violations in conflict-affected areas and refer</w:t>
      </w:r>
      <w:r w:rsidR="00113305">
        <w:rPr>
          <w:rFonts w:cs="Tahoma"/>
        </w:rPr>
        <w:t>r</w:t>
      </w:r>
      <w:r w:rsidRPr="00026363">
        <w:rPr>
          <w:rFonts w:cs="Tahoma"/>
        </w:rPr>
        <w:t>ed in this respect to the “</w:t>
      </w:r>
      <w:proofErr w:type="spellStart"/>
      <w:r w:rsidRPr="00026363">
        <w:rPr>
          <w:rFonts w:cs="Tahoma"/>
        </w:rPr>
        <w:t>Otkhozoria-Tatunashvili</w:t>
      </w:r>
      <w:proofErr w:type="spellEnd"/>
      <w:r w:rsidRPr="00026363">
        <w:rPr>
          <w:rFonts w:cs="Tahoma"/>
        </w:rPr>
        <w:t>”</w:t>
      </w:r>
      <w:r>
        <w:rPr>
          <w:rFonts w:cs="Tahoma"/>
        </w:rPr>
        <w:t xml:space="preserve"> list.</w:t>
      </w:r>
    </w:p>
    <w:p w:rsidR="00B66006" w:rsidRPr="00022DEB" w:rsidRDefault="00B66006" w:rsidP="00113305">
      <w:pPr>
        <w:widowControl w:val="0"/>
        <w:jc w:val="both"/>
        <w:rPr>
          <w:rFonts w:cs="Tahoma"/>
          <w:bCs/>
          <w:lang w:val="en-GB"/>
        </w:rPr>
      </w:pPr>
    </w:p>
    <w:p w:rsidR="0015348A" w:rsidRPr="00022DEB" w:rsidRDefault="006534B5" w:rsidP="00380DE3">
      <w:pPr>
        <w:widowControl w:val="0"/>
        <w:numPr>
          <w:ilvl w:val="0"/>
          <w:numId w:val="5"/>
        </w:numPr>
        <w:tabs>
          <w:tab w:val="clear" w:pos="360"/>
        </w:tabs>
        <w:ind w:left="0" w:firstLine="0"/>
        <w:jc w:val="both"/>
        <w:rPr>
          <w:rFonts w:cs="Tahoma"/>
          <w:lang w:val="en-GB"/>
        </w:rPr>
      </w:pPr>
      <w:r w:rsidRPr="00022DEB">
        <w:rPr>
          <w:rFonts w:cs="Tahoma"/>
          <w:bCs/>
          <w:lang w:val="en-GB"/>
        </w:rPr>
        <w:t>During the period under review, the Parliament of Georgia adopted a number of legislative acts to operationali</w:t>
      </w:r>
      <w:r w:rsidR="00B66006">
        <w:rPr>
          <w:rFonts w:cs="Tahoma"/>
          <w:bCs/>
          <w:lang w:val="en-GB"/>
        </w:rPr>
        <w:t>s</w:t>
      </w:r>
      <w:r w:rsidRPr="00022DEB">
        <w:rPr>
          <w:rFonts w:cs="Tahoma"/>
          <w:bCs/>
          <w:lang w:val="en-GB"/>
        </w:rPr>
        <w:t xml:space="preserve">e the key proposals under the government’s “Step to a Better Future” policy that seeks to promote peace and reconciliation through facilitating cross-ABL trade and education opportunities in a status-neutral manner. </w:t>
      </w:r>
      <w:r w:rsidR="00FB42A7" w:rsidRPr="00022DEB">
        <w:rPr>
          <w:rFonts w:cs="Tahoma"/>
          <w:bCs/>
          <w:lang w:val="en-GB"/>
        </w:rPr>
        <w:t xml:space="preserve">According </w:t>
      </w:r>
      <w:r w:rsidR="0031405A" w:rsidRPr="00022DEB">
        <w:rPr>
          <w:rFonts w:cs="Tahoma"/>
          <w:bCs/>
          <w:lang w:val="en-GB"/>
        </w:rPr>
        <w:t xml:space="preserve">to </w:t>
      </w:r>
      <w:r w:rsidR="00FB42A7" w:rsidRPr="00022DEB">
        <w:rPr>
          <w:rFonts w:cs="Tahoma"/>
          <w:bCs/>
          <w:lang w:val="en-GB"/>
        </w:rPr>
        <w:t>the</w:t>
      </w:r>
      <w:r w:rsidR="0078734D" w:rsidRPr="00022DEB">
        <w:rPr>
          <w:rFonts w:cs="Tahoma"/>
          <w:bCs/>
          <w:lang w:val="en-GB"/>
        </w:rPr>
        <w:t xml:space="preserve"> Office of the St</w:t>
      </w:r>
      <w:r w:rsidR="00FB42A7" w:rsidRPr="00022DEB">
        <w:rPr>
          <w:rFonts w:cs="Tahoma"/>
          <w:bCs/>
          <w:lang w:val="en-GB"/>
        </w:rPr>
        <w:t>ate Minister for Reconciliation</w:t>
      </w:r>
      <w:r w:rsidR="00F02B82" w:rsidRPr="00022DEB">
        <w:rPr>
          <w:rFonts w:cs="Tahoma"/>
          <w:bCs/>
          <w:lang w:val="en-GB"/>
        </w:rPr>
        <w:t xml:space="preserve"> and Civic Equality (SMR)</w:t>
      </w:r>
      <w:r w:rsidR="00FB42A7" w:rsidRPr="00022DEB">
        <w:rPr>
          <w:rFonts w:cs="Tahoma"/>
          <w:bCs/>
          <w:lang w:val="en-GB"/>
        </w:rPr>
        <w:t xml:space="preserve">, which leads the process, </w:t>
      </w:r>
      <w:r w:rsidR="0078734D" w:rsidRPr="00022DEB">
        <w:rPr>
          <w:rFonts w:cs="Tahoma"/>
          <w:bCs/>
          <w:lang w:val="en-GB"/>
        </w:rPr>
        <w:t xml:space="preserve">the regulatory framework </w:t>
      </w:r>
      <w:r w:rsidR="00FB42A7" w:rsidRPr="00022DEB">
        <w:rPr>
          <w:rFonts w:cs="Tahoma"/>
          <w:bCs/>
          <w:lang w:val="en-GB"/>
        </w:rPr>
        <w:t xml:space="preserve">should </w:t>
      </w:r>
      <w:r w:rsidR="0078734D" w:rsidRPr="00022DEB">
        <w:rPr>
          <w:rFonts w:cs="Tahoma"/>
          <w:bCs/>
          <w:lang w:val="en-GB"/>
        </w:rPr>
        <w:t>be</w:t>
      </w:r>
      <w:r w:rsidR="00FB42A7" w:rsidRPr="00022DEB">
        <w:rPr>
          <w:rFonts w:cs="Tahoma"/>
          <w:bCs/>
          <w:lang w:val="en-GB"/>
        </w:rPr>
        <w:t xml:space="preserve"> completed in the coming months. Efforts are underway</w:t>
      </w:r>
      <w:r w:rsidR="0078734D" w:rsidRPr="00022DEB">
        <w:rPr>
          <w:rFonts w:cs="Tahoma"/>
          <w:bCs/>
          <w:lang w:val="en-GB"/>
        </w:rPr>
        <w:t xml:space="preserve"> </w:t>
      </w:r>
      <w:r w:rsidR="00FB42A7" w:rsidRPr="00022DEB">
        <w:rPr>
          <w:rFonts w:cs="Tahoma"/>
          <w:bCs/>
          <w:lang w:val="en-GB"/>
        </w:rPr>
        <w:t>to create</w:t>
      </w:r>
      <w:r w:rsidR="0078734D" w:rsidRPr="00022DEB">
        <w:rPr>
          <w:rFonts w:cs="Tahoma"/>
          <w:bCs/>
          <w:lang w:val="en-GB"/>
        </w:rPr>
        <w:t xml:space="preserve"> a </w:t>
      </w:r>
      <w:r w:rsidRPr="00022DEB">
        <w:rPr>
          <w:rFonts w:cs="Tahoma"/>
          <w:bCs/>
          <w:lang w:val="en-GB"/>
        </w:rPr>
        <w:t>financial mechanism in co-operation with foreign donors</w:t>
      </w:r>
      <w:r w:rsidR="0078734D" w:rsidRPr="00022DEB">
        <w:rPr>
          <w:rFonts w:cs="Tahoma"/>
          <w:bCs/>
          <w:lang w:val="en-GB"/>
        </w:rPr>
        <w:t xml:space="preserve"> to cover funding needs</w:t>
      </w:r>
      <w:r w:rsidRPr="00022DEB">
        <w:rPr>
          <w:rFonts w:cs="Tahoma"/>
          <w:bCs/>
          <w:lang w:val="en-GB"/>
        </w:rPr>
        <w:t xml:space="preserve">. International interlocutors </w:t>
      </w:r>
      <w:r w:rsidR="0078734D" w:rsidRPr="00022DEB">
        <w:rPr>
          <w:rFonts w:cs="Tahoma"/>
          <w:bCs/>
          <w:lang w:val="en-GB"/>
        </w:rPr>
        <w:t>m</w:t>
      </w:r>
      <w:r w:rsidR="00352B1F" w:rsidRPr="00022DEB">
        <w:rPr>
          <w:rFonts w:cs="Tahoma"/>
          <w:bCs/>
          <w:lang w:val="en-GB"/>
        </w:rPr>
        <w:t>et by the delegation in Tbilisi generally expressed readiness to support the initiative</w:t>
      </w:r>
      <w:r w:rsidR="004C254F" w:rsidRPr="00022DEB">
        <w:rPr>
          <w:rFonts w:cs="Tahoma"/>
          <w:bCs/>
          <w:lang w:val="en-GB"/>
        </w:rPr>
        <w:t xml:space="preserve">. It was noted however that </w:t>
      </w:r>
      <w:r w:rsidR="0031405A" w:rsidRPr="00022DEB">
        <w:rPr>
          <w:rFonts w:cs="Tahoma"/>
          <w:bCs/>
          <w:lang w:val="en-GB"/>
        </w:rPr>
        <w:t>the level of possible engagement</w:t>
      </w:r>
      <w:r w:rsidR="004C254F" w:rsidRPr="00022DEB">
        <w:rPr>
          <w:rFonts w:cs="Tahoma"/>
          <w:bCs/>
          <w:lang w:val="en-GB"/>
        </w:rPr>
        <w:t xml:space="preserve"> </w:t>
      </w:r>
      <w:r w:rsidR="00352B1F" w:rsidRPr="00022DEB">
        <w:rPr>
          <w:rFonts w:cs="Tahoma"/>
          <w:bCs/>
          <w:lang w:val="en-GB"/>
        </w:rPr>
        <w:t>from</w:t>
      </w:r>
      <w:r w:rsidR="004C254F" w:rsidRPr="00022DEB">
        <w:rPr>
          <w:rFonts w:cs="Tahoma"/>
          <w:bCs/>
          <w:lang w:val="en-GB"/>
        </w:rPr>
        <w:t xml:space="preserve"> </w:t>
      </w:r>
      <w:r w:rsidR="00352B1F" w:rsidRPr="00022DEB">
        <w:rPr>
          <w:rFonts w:cs="Tahoma"/>
          <w:bCs/>
          <w:lang w:val="en-GB"/>
        </w:rPr>
        <w:t>Sukhumi</w:t>
      </w:r>
      <w:r w:rsidRPr="00022DEB">
        <w:rPr>
          <w:rFonts w:cs="Tahoma"/>
          <w:bCs/>
          <w:lang w:val="en-GB"/>
        </w:rPr>
        <w:t xml:space="preserve"> and </w:t>
      </w:r>
      <w:r w:rsidR="00352B1F" w:rsidRPr="00022DEB">
        <w:rPr>
          <w:rFonts w:cs="Tahoma"/>
          <w:bCs/>
          <w:lang w:val="en-GB"/>
        </w:rPr>
        <w:t>Tskhinvali</w:t>
      </w:r>
      <w:r w:rsidR="00E2786D" w:rsidRPr="00022DEB">
        <w:rPr>
          <w:rFonts w:cs="Tahoma"/>
          <w:bCs/>
          <w:lang w:val="en-GB"/>
        </w:rPr>
        <w:t xml:space="preserve"> remained to be seen</w:t>
      </w:r>
      <w:r w:rsidR="0078734D" w:rsidRPr="00022DEB">
        <w:rPr>
          <w:rFonts w:cs="Tahoma"/>
          <w:bCs/>
          <w:lang w:val="en-GB"/>
        </w:rPr>
        <w:t>.</w:t>
      </w:r>
      <w:r w:rsidRPr="00022DEB">
        <w:rPr>
          <w:rFonts w:cs="Tahoma"/>
          <w:bCs/>
          <w:lang w:val="en-GB"/>
        </w:rPr>
        <w:t xml:space="preserve"> </w:t>
      </w:r>
      <w:r w:rsidR="0078734D" w:rsidRPr="00022DEB">
        <w:rPr>
          <w:rFonts w:cs="Tahoma"/>
          <w:bCs/>
          <w:lang w:val="en-GB"/>
        </w:rPr>
        <w:t>In general, there was a shared understanding among various interlocutors that the reconciliation process would benefit from more direct contacts, the level of which is presently considered insufficient.</w:t>
      </w:r>
    </w:p>
    <w:p w:rsidR="00C5782F" w:rsidRPr="00022DEB" w:rsidRDefault="00C5782F" w:rsidP="00B66006">
      <w:pPr>
        <w:widowControl w:val="0"/>
        <w:jc w:val="both"/>
        <w:rPr>
          <w:rFonts w:cs="Tahoma"/>
          <w:lang w:val="en-GB"/>
        </w:rPr>
      </w:pPr>
    </w:p>
    <w:p w:rsidR="004545DE" w:rsidRPr="00022DEB" w:rsidRDefault="0069693E" w:rsidP="002B728B">
      <w:pPr>
        <w:keepNext/>
        <w:keepLines/>
        <w:widowControl w:val="0"/>
        <w:numPr>
          <w:ilvl w:val="0"/>
          <w:numId w:val="5"/>
        </w:numPr>
        <w:tabs>
          <w:tab w:val="clear" w:pos="360"/>
        </w:tabs>
        <w:ind w:left="0" w:firstLine="0"/>
        <w:jc w:val="both"/>
        <w:rPr>
          <w:rFonts w:cs="Tahoma"/>
          <w:lang w:val="en-GB"/>
        </w:rPr>
      </w:pPr>
      <w:r w:rsidRPr="00022DEB">
        <w:rPr>
          <w:rFonts w:cs="Tahoma"/>
          <w:lang w:val="en-GB"/>
        </w:rPr>
        <w:lastRenderedPageBreak/>
        <w:t>In the</w:t>
      </w:r>
      <w:r w:rsidR="0005406C" w:rsidRPr="00022DEB">
        <w:rPr>
          <w:rFonts w:cs="Tahoma"/>
          <w:lang w:val="en-GB"/>
        </w:rPr>
        <w:t xml:space="preserve"> absence of diplomatic relations,</w:t>
      </w:r>
      <w:r w:rsidR="0015348A" w:rsidRPr="00022DEB">
        <w:rPr>
          <w:rFonts w:cs="Tahoma"/>
          <w:lang w:val="en-GB"/>
        </w:rPr>
        <w:t xml:space="preserve"> Georgia and Russia</w:t>
      </w:r>
      <w:r w:rsidR="005462B8">
        <w:rPr>
          <w:rFonts w:cs="Tahoma"/>
          <w:lang w:val="en-GB"/>
        </w:rPr>
        <w:t>n Federation</w:t>
      </w:r>
      <w:r w:rsidR="0015348A" w:rsidRPr="00022DEB">
        <w:rPr>
          <w:rFonts w:cs="Tahoma"/>
          <w:lang w:val="en-GB"/>
        </w:rPr>
        <w:t xml:space="preserve"> </w:t>
      </w:r>
      <w:r w:rsidR="0005406C" w:rsidRPr="00022DEB">
        <w:rPr>
          <w:rFonts w:cs="Tahoma"/>
          <w:lang w:val="en-GB"/>
        </w:rPr>
        <w:t xml:space="preserve">have remained committed to the </w:t>
      </w:r>
      <w:r w:rsidR="0015348A" w:rsidRPr="00022DEB">
        <w:rPr>
          <w:rFonts w:cs="Tahoma"/>
          <w:lang w:val="en-GB"/>
        </w:rPr>
        <w:t>process of normali</w:t>
      </w:r>
      <w:r w:rsidR="00E94C36" w:rsidRPr="00022DEB">
        <w:rPr>
          <w:rFonts w:cs="Tahoma"/>
          <w:lang w:val="en-GB"/>
        </w:rPr>
        <w:t>s</w:t>
      </w:r>
      <w:r w:rsidR="0015348A" w:rsidRPr="00022DEB">
        <w:rPr>
          <w:rFonts w:cs="Tahoma"/>
          <w:lang w:val="en-GB"/>
        </w:rPr>
        <w:t xml:space="preserve">ation of bilateral </w:t>
      </w:r>
      <w:r w:rsidR="00713421" w:rsidRPr="00022DEB">
        <w:rPr>
          <w:rFonts w:cs="Tahoma"/>
          <w:lang w:val="en-GB"/>
        </w:rPr>
        <w:t>links</w:t>
      </w:r>
      <w:r w:rsidR="008943DA" w:rsidRPr="00022DEB">
        <w:rPr>
          <w:rFonts w:cs="Tahoma"/>
          <w:lang w:val="en-GB"/>
        </w:rPr>
        <w:t xml:space="preserve"> in several areas</w:t>
      </w:r>
      <w:r w:rsidR="0005406C" w:rsidRPr="00022DEB">
        <w:rPr>
          <w:rFonts w:cs="Tahoma"/>
          <w:lang w:val="en-GB"/>
        </w:rPr>
        <w:t xml:space="preserve">. As a result, a positive and dynamic impact </w:t>
      </w:r>
      <w:r w:rsidR="00713421" w:rsidRPr="00022DEB">
        <w:rPr>
          <w:rFonts w:cs="Tahoma"/>
          <w:lang w:val="en-GB"/>
        </w:rPr>
        <w:t>continued</w:t>
      </w:r>
      <w:r w:rsidR="0005406C" w:rsidRPr="00022DEB">
        <w:rPr>
          <w:rFonts w:cs="Tahoma"/>
          <w:lang w:val="en-GB"/>
        </w:rPr>
        <w:t xml:space="preserve"> to be </w:t>
      </w:r>
      <w:r w:rsidRPr="00022DEB">
        <w:rPr>
          <w:rFonts w:cs="Tahoma"/>
          <w:lang w:val="en-GB"/>
        </w:rPr>
        <w:t>reported</w:t>
      </w:r>
      <w:r w:rsidR="0005406C" w:rsidRPr="00022DEB">
        <w:rPr>
          <w:rFonts w:cs="Tahoma"/>
          <w:lang w:val="en-GB"/>
        </w:rPr>
        <w:t xml:space="preserve"> on economy, trade and tourism as well as business and </w:t>
      </w:r>
      <w:r w:rsidR="000F4414" w:rsidRPr="00022DEB">
        <w:rPr>
          <w:rFonts w:cs="Tahoma"/>
          <w:lang w:val="en-GB"/>
        </w:rPr>
        <w:t xml:space="preserve">people-to-people </w:t>
      </w:r>
      <w:r w:rsidR="0005406C" w:rsidRPr="00022DEB">
        <w:rPr>
          <w:rFonts w:cs="Tahoma"/>
          <w:lang w:val="en-GB"/>
        </w:rPr>
        <w:t>exchanges</w:t>
      </w:r>
      <w:r w:rsidR="00860BE0" w:rsidRPr="00022DEB">
        <w:rPr>
          <w:rFonts w:cs="Tahoma"/>
          <w:lang w:val="en-GB"/>
        </w:rPr>
        <w:t xml:space="preserve"> between the two countries</w:t>
      </w:r>
      <w:r w:rsidR="0005406C" w:rsidRPr="00022DEB">
        <w:rPr>
          <w:rFonts w:cs="Tahoma"/>
          <w:lang w:val="en-GB"/>
        </w:rPr>
        <w:t xml:space="preserve">. </w:t>
      </w:r>
      <w:r w:rsidR="004545DE" w:rsidRPr="00022DEB">
        <w:rPr>
          <w:rFonts w:cs="Tahoma"/>
          <w:lang w:val="en-GB"/>
        </w:rPr>
        <w:t xml:space="preserve">During the period under review, it was </w:t>
      </w:r>
      <w:r w:rsidRPr="00022DEB">
        <w:rPr>
          <w:rFonts w:cs="Tahoma"/>
          <w:lang w:val="en-GB"/>
        </w:rPr>
        <w:t xml:space="preserve">also </w:t>
      </w:r>
      <w:r w:rsidR="004545DE" w:rsidRPr="00022DEB">
        <w:rPr>
          <w:rFonts w:cs="Tahoma"/>
          <w:lang w:val="en-GB"/>
        </w:rPr>
        <w:t xml:space="preserve">reported that </w:t>
      </w:r>
      <w:r w:rsidRPr="00022DEB">
        <w:rPr>
          <w:rFonts w:cs="Tahoma"/>
          <w:lang w:val="en-GB"/>
        </w:rPr>
        <w:t xml:space="preserve">through Switzerland’s good offices, the </w:t>
      </w:r>
      <w:r w:rsidR="004545DE" w:rsidRPr="00022DEB">
        <w:rPr>
          <w:rFonts w:cs="Tahoma"/>
          <w:lang w:val="en-GB"/>
        </w:rPr>
        <w:t>negoti</w:t>
      </w:r>
      <w:r w:rsidRPr="00022DEB">
        <w:rPr>
          <w:rFonts w:cs="Tahoma"/>
          <w:lang w:val="en-GB"/>
        </w:rPr>
        <w:t>ations have been concluded</w:t>
      </w:r>
      <w:r w:rsidR="005462B8">
        <w:rPr>
          <w:rFonts w:cs="Tahoma"/>
          <w:lang w:val="en-GB"/>
        </w:rPr>
        <w:t>,</w:t>
      </w:r>
      <w:r w:rsidRPr="00022DEB">
        <w:rPr>
          <w:rFonts w:cs="Tahoma"/>
          <w:lang w:val="en-GB"/>
        </w:rPr>
        <w:t xml:space="preserve"> and</w:t>
      </w:r>
      <w:r w:rsidR="004545DE" w:rsidRPr="00022DEB">
        <w:rPr>
          <w:rFonts w:cs="Tahoma"/>
          <w:lang w:val="en-GB"/>
        </w:rPr>
        <w:t xml:space="preserve"> conditions to implement</w:t>
      </w:r>
      <w:r w:rsidRPr="00022DEB">
        <w:rPr>
          <w:rFonts w:cs="Tahoma"/>
          <w:lang w:val="en-GB"/>
        </w:rPr>
        <w:t xml:space="preserve"> the customs</w:t>
      </w:r>
      <w:r w:rsidR="004545DE" w:rsidRPr="00022DEB">
        <w:rPr>
          <w:rFonts w:cs="Tahoma"/>
          <w:lang w:val="en-GB"/>
        </w:rPr>
        <w:t xml:space="preserve"> agreement </w:t>
      </w:r>
      <w:r w:rsidRPr="00022DEB">
        <w:rPr>
          <w:rFonts w:cs="Tahoma"/>
          <w:lang w:val="en-GB"/>
        </w:rPr>
        <w:t>signed by Georgia and Russia in 2011, in the course of Russia’s accession to the World Trade Organisation (WTO), are now in place</w:t>
      </w:r>
      <w:r w:rsidR="004545DE" w:rsidRPr="00022DEB">
        <w:rPr>
          <w:rFonts w:cs="Tahoma"/>
          <w:lang w:val="en-GB"/>
        </w:rPr>
        <w:t>.</w:t>
      </w:r>
      <w:r w:rsidR="00026363">
        <w:rPr>
          <w:rStyle w:val="FootnoteReference"/>
          <w:rFonts w:cs="Tahoma"/>
          <w:lang w:val="en-GB"/>
        </w:rPr>
        <w:footnoteReference w:id="10"/>
      </w:r>
      <w:r w:rsidR="004545DE" w:rsidRPr="00022DEB">
        <w:rPr>
          <w:rFonts w:cs="Tahoma"/>
          <w:lang w:val="en-GB"/>
        </w:rPr>
        <w:t xml:space="preserve"> </w:t>
      </w:r>
    </w:p>
    <w:p w:rsidR="0069693E" w:rsidRPr="00022DEB" w:rsidRDefault="0069693E" w:rsidP="00B66006">
      <w:pPr>
        <w:widowControl w:val="0"/>
        <w:jc w:val="both"/>
        <w:rPr>
          <w:rFonts w:cs="Tahoma"/>
          <w:lang w:val="en-GB"/>
        </w:rPr>
      </w:pPr>
    </w:p>
    <w:p w:rsidR="0015348A" w:rsidRPr="00022DEB" w:rsidRDefault="00713421" w:rsidP="00B66006">
      <w:pPr>
        <w:keepLines/>
        <w:widowControl w:val="0"/>
        <w:numPr>
          <w:ilvl w:val="0"/>
          <w:numId w:val="5"/>
        </w:numPr>
        <w:tabs>
          <w:tab w:val="clear" w:pos="360"/>
        </w:tabs>
        <w:ind w:left="0" w:firstLine="0"/>
        <w:jc w:val="both"/>
        <w:rPr>
          <w:rFonts w:cs="Tahoma"/>
          <w:lang w:val="en-GB"/>
        </w:rPr>
      </w:pPr>
      <w:r w:rsidRPr="00022DEB">
        <w:rPr>
          <w:rFonts w:cs="Tahoma"/>
          <w:lang w:val="en-GB"/>
        </w:rPr>
        <w:t xml:space="preserve">The </w:t>
      </w:r>
      <w:r w:rsidR="004545DE" w:rsidRPr="00022DEB">
        <w:rPr>
          <w:rFonts w:cs="Tahoma"/>
          <w:lang w:val="en-GB"/>
        </w:rPr>
        <w:t xml:space="preserve">Prague-based </w:t>
      </w:r>
      <w:r w:rsidRPr="00022DEB">
        <w:rPr>
          <w:rFonts w:cs="Tahoma"/>
          <w:lang w:val="en-GB"/>
        </w:rPr>
        <w:t xml:space="preserve">informal dialogue between the </w:t>
      </w:r>
      <w:r w:rsidR="00F724B5" w:rsidRPr="00022DEB">
        <w:rPr>
          <w:rFonts w:cs="Tahoma"/>
          <w:lang w:val="en-GB"/>
        </w:rPr>
        <w:t>Georgian P</w:t>
      </w:r>
      <w:r w:rsidR="000F4414" w:rsidRPr="00022DEB">
        <w:rPr>
          <w:rFonts w:cs="Tahoma"/>
          <w:lang w:val="en-GB"/>
        </w:rPr>
        <w:t xml:space="preserve">rime </w:t>
      </w:r>
      <w:r w:rsidR="00F724B5" w:rsidRPr="00022DEB">
        <w:rPr>
          <w:rFonts w:cs="Tahoma"/>
          <w:lang w:val="en-GB"/>
        </w:rPr>
        <w:t>M</w:t>
      </w:r>
      <w:r w:rsidR="000F4414" w:rsidRPr="00022DEB">
        <w:rPr>
          <w:rFonts w:cs="Tahoma"/>
          <w:lang w:val="en-GB"/>
        </w:rPr>
        <w:t>inister’s</w:t>
      </w:r>
      <w:r w:rsidR="00F724B5" w:rsidRPr="00022DEB">
        <w:rPr>
          <w:rFonts w:cs="Tahoma"/>
          <w:lang w:val="en-GB"/>
        </w:rPr>
        <w:t xml:space="preserve"> Special Representative for Relations with Russia </w:t>
      </w:r>
      <w:proofErr w:type="spellStart"/>
      <w:r w:rsidR="00F724B5" w:rsidRPr="00022DEB">
        <w:rPr>
          <w:rFonts w:cs="Tahoma"/>
          <w:lang w:val="en-GB"/>
        </w:rPr>
        <w:t>Zurab</w:t>
      </w:r>
      <w:proofErr w:type="spellEnd"/>
      <w:r w:rsidR="00F724B5" w:rsidRPr="00022DEB">
        <w:rPr>
          <w:rFonts w:cs="Tahoma"/>
          <w:lang w:val="en-GB"/>
        </w:rPr>
        <w:t xml:space="preserve"> </w:t>
      </w:r>
      <w:proofErr w:type="spellStart"/>
      <w:r w:rsidR="00F724B5" w:rsidRPr="00022DEB">
        <w:rPr>
          <w:rFonts w:cs="Tahoma"/>
          <w:lang w:val="en-GB"/>
        </w:rPr>
        <w:t>Abashidze</w:t>
      </w:r>
      <w:proofErr w:type="spellEnd"/>
      <w:r w:rsidR="00F724B5" w:rsidRPr="00022DEB">
        <w:rPr>
          <w:rFonts w:cs="Tahoma"/>
          <w:lang w:val="en-GB"/>
        </w:rPr>
        <w:t xml:space="preserve"> and Russian </w:t>
      </w:r>
      <w:r w:rsidR="000F4414" w:rsidRPr="00022DEB">
        <w:rPr>
          <w:rFonts w:cs="Tahoma"/>
          <w:lang w:val="en-GB"/>
        </w:rPr>
        <w:t xml:space="preserve">State Secretary and </w:t>
      </w:r>
      <w:r w:rsidR="00F724B5" w:rsidRPr="00022DEB">
        <w:rPr>
          <w:rFonts w:cs="Tahoma"/>
          <w:lang w:val="en-GB"/>
        </w:rPr>
        <w:t xml:space="preserve">Deputy Foreign Minister </w:t>
      </w:r>
      <w:proofErr w:type="spellStart"/>
      <w:r w:rsidR="00F724B5" w:rsidRPr="00022DEB">
        <w:rPr>
          <w:rFonts w:cs="Tahoma"/>
          <w:lang w:val="en-GB"/>
        </w:rPr>
        <w:t>Grigory</w:t>
      </w:r>
      <w:proofErr w:type="spellEnd"/>
      <w:r w:rsidR="00F724B5" w:rsidRPr="00022DEB">
        <w:rPr>
          <w:rFonts w:cs="Tahoma"/>
          <w:lang w:val="en-GB"/>
        </w:rPr>
        <w:t xml:space="preserve"> </w:t>
      </w:r>
      <w:proofErr w:type="spellStart"/>
      <w:r w:rsidR="00F724B5" w:rsidRPr="00022DEB">
        <w:rPr>
          <w:rFonts w:cs="Tahoma"/>
          <w:lang w:val="en-GB"/>
        </w:rPr>
        <w:t>Karasin</w:t>
      </w:r>
      <w:proofErr w:type="spellEnd"/>
      <w:r w:rsidR="0005406C" w:rsidRPr="00022DEB">
        <w:rPr>
          <w:rFonts w:cs="Tahoma"/>
          <w:lang w:val="en-GB"/>
        </w:rPr>
        <w:t xml:space="preserve"> </w:t>
      </w:r>
      <w:r w:rsidR="004545DE" w:rsidRPr="00022DEB">
        <w:rPr>
          <w:rFonts w:cs="Tahoma"/>
          <w:lang w:val="en-GB"/>
        </w:rPr>
        <w:t xml:space="preserve">that started in </w:t>
      </w:r>
      <w:proofErr w:type="gramStart"/>
      <w:r w:rsidR="004545DE" w:rsidRPr="00022DEB">
        <w:rPr>
          <w:rFonts w:cs="Tahoma"/>
          <w:lang w:val="en-GB"/>
        </w:rPr>
        <w:t>2012</w:t>
      </w:r>
      <w:r w:rsidR="005462B8">
        <w:rPr>
          <w:rFonts w:cs="Tahoma"/>
          <w:lang w:val="en-GB"/>
        </w:rPr>
        <w:t>,</w:t>
      </w:r>
      <w:proofErr w:type="gramEnd"/>
      <w:r w:rsidR="004545DE" w:rsidRPr="00022DEB">
        <w:rPr>
          <w:rFonts w:cs="Tahoma"/>
          <w:lang w:val="en-GB"/>
        </w:rPr>
        <w:t xml:space="preserve"> remains a</w:t>
      </w:r>
      <w:r w:rsidRPr="00022DEB">
        <w:rPr>
          <w:rFonts w:cs="Tahoma"/>
          <w:lang w:val="en-GB"/>
        </w:rPr>
        <w:t xml:space="preserve"> valuable track </w:t>
      </w:r>
      <w:r w:rsidR="00B66006">
        <w:rPr>
          <w:rFonts w:cs="Tahoma"/>
          <w:lang w:val="en-GB"/>
        </w:rPr>
        <w:t>to advance</w:t>
      </w:r>
      <w:r w:rsidR="004545DE" w:rsidRPr="00022DEB">
        <w:rPr>
          <w:rFonts w:cs="Tahoma"/>
          <w:lang w:val="en-GB"/>
        </w:rPr>
        <w:t xml:space="preserve"> the normalisation process</w:t>
      </w:r>
      <w:r w:rsidR="00E2786D" w:rsidRPr="00022DEB">
        <w:rPr>
          <w:rFonts w:cs="Tahoma"/>
          <w:lang w:val="en-GB"/>
        </w:rPr>
        <w:t xml:space="preserve"> in spite of diverging views on</w:t>
      </w:r>
      <w:r w:rsidR="00FA4649" w:rsidRPr="00022DEB">
        <w:rPr>
          <w:rFonts w:cs="Tahoma"/>
          <w:lang w:val="en-GB"/>
        </w:rPr>
        <w:t xml:space="preserve"> various other questions, notably security</w:t>
      </w:r>
      <w:r w:rsidR="004545DE" w:rsidRPr="00022DEB">
        <w:rPr>
          <w:rFonts w:cs="Tahoma"/>
          <w:lang w:val="en-GB"/>
        </w:rPr>
        <w:t xml:space="preserve">. On 27 February 2019, both sides held another meeting in Prague and confirmed their readiness to continue contacts in the future. </w:t>
      </w:r>
    </w:p>
    <w:p w:rsidR="0015348A" w:rsidRPr="00022DEB" w:rsidRDefault="0015348A" w:rsidP="00B66006">
      <w:pPr>
        <w:widowControl w:val="0"/>
        <w:jc w:val="both"/>
        <w:rPr>
          <w:rFonts w:cs="Tahoma"/>
          <w:lang w:val="en-GB"/>
        </w:rPr>
      </w:pPr>
    </w:p>
    <w:p w:rsidR="00E64288" w:rsidRPr="00022DEB" w:rsidRDefault="00E64288" w:rsidP="00B66006">
      <w:pPr>
        <w:widowControl w:val="0"/>
        <w:ind w:left="720" w:hanging="720"/>
        <w:jc w:val="both"/>
        <w:rPr>
          <w:rFonts w:cs="Tahoma"/>
          <w:i/>
          <w:lang w:val="en-GB"/>
        </w:rPr>
      </w:pPr>
      <w:r w:rsidRPr="00022DEB">
        <w:rPr>
          <w:rFonts w:cs="Tahoma"/>
          <w:i/>
          <w:lang w:val="en-GB"/>
        </w:rPr>
        <w:t>II</w:t>
      </w:r>
      <w:r w:rsidRPr="00022DEB">
        <w:rPr>
          <w:rFonts w:cs="Tahoma"/>
          <w:i/>
          <w:lang w:val="en-GB"/>
        </w:rPr>
        <w:tab/>
        <w:t>Assessment of statutory obligations and commitments related to the conflict and its consequences</w:t>
      </w:r>
    </w:p>
    <w:p w:rsidR="00E64288" w:rsidRPr="00022DEB" w:rsidRDefault="00E64288" w:rsidP="00B66006">
      <w:pPr>
        <w:widowControl w:val="0"/>
        <w:tabs>
          <w:tab w:val="left" w:pos="720"/>
        </w:tabs>
        <w:jc w:val="both"/>
        <w:rPr>
          <w:rFonts w:cs="Tahoma"/>
          <w:lang w:val="en-GB" w:bidi="he-IL"/>
        </w:rPr>
      </w:pPr>
    </w:p>
    <w:p w:rsidR="00E64288" w:rsidRPr="00022DEB" w:rsidRDefault="00E64288" w:rsidP="00B66006">
      <w:pPr>
        <w:widowControl w:val="0"/>
        <w:numPr>
          <w:ilvl w:val="0"/>
          <w:numId w:val="5"/>
        </w:numPr>
        <w:tabs>
          <w:tab w:val="clear" w:pos="360"/>
          <w:tab w:val="num" w:pos="0"/>
        </w:tabs>
        <w:ind w:left="0" w:firstLine="0"/>
        <w:jc w:val="both"/>
        <w:rPr>
          <w:rFonts w:cs="Tahoma"/>
          <w:lang w:val="en-GB" w:bidi="he-IL"/>
        </w:rPr>
      </w:pPr>
      <w:r w:rsidRPr="00022DEB">
        <w:rPr>
          <w:rFonts w:cs="Tahoma"/>
          <w:lang w:val="en-GB"/>
        </w:rPr>
        <w:t>Below is an update on statutory obliga</w:t>
      </w:r>
      <w:r w:rsidR="003B25E3" w:rsidRPr="00022DEB">
        <w:rPr>
          <w:rFonts w:cs="Tahoma"/>
          <w:lang w:val="en-GB"/>
        </w:rPr>
        <w:t>tions and specific commitments –</w:t>
      </w:r>
      <w:r w:rsidRPr="00022DEB">
        <w:rPr>
          <w:rFonts w:cs="Tahoma"/>
          <w:lang w:val="en-GB"/>
        </w:rPr>
        <w:t xml:space="preserve"> as listed in PACE Opin</w:t>
      </w:r>
      <w:r w:rsidR="003B25E3" w:rsidRPr="00022DEB">
        <w:rPr>
          <w:rFonts w:cs="Tahoma"/>
          <w:lang w:val="en-GB"/>
        </w:rPr>
        <w:t>ions 193 (1996) and 209 (1999) –</w:t>
      </w:r>
      <w:r w:rsidRPr="00022DEB">
        <w:rPr>
          <w:rFonts w:cs="Tahoma"/>
          <w:lang w:val="en-GB"/>
        </w:rPr>
        <w:t xml:space="preserve"> which have been selected for the purpose of reporting on the conflict in Georgia and its consequences. This part builds on Part 1 of the first and second consolidated reports on the conflict in Georgia (</w:t>
      </w:r>
      <w:bookmarkStart w:id="21" w:name="_ML_000000000001_VALID"/>
      <w:r w:rsidR="00BC47C1" w:rsidRPr="00022DEB">
        <w:rPr>
          <w:rFonts w:cs="Tahoma"/>
          <w:lang w:val="en-GB"/>
        </w:rPr>
        <w:fldChar w:fldCharType="begin"/>
      </w:r>
      <w:r w:rsidR="00BC47C1" w:rsidRPr="00022DEB">
        <w:rPr>
          <w:rFonts w:cs="Tahoma"/>
          <w:lang w:val="en-GB"/>
        </w:rPr>
        <w:instrText xml:space="preserve"> HYPERLINK "https://search.coe.int/cm/Pages/result_details.aspx?Reference=SG/Inf(2010)8" \o "Consolidated report on the conflict in Georgia (October 2009 - March 2010)" </w:instrText>
      </w:r>
      <w:r w:rsidR="00BC47C1" w:rsidRPr="00022DEB">
        <w:rPr>
          <w:rFonts w:cs="Tahoma"/>
          <w:lang w:val="en-GB"/>
        </w:rPr>
        <w:fldChar w:fldCharType="separate"/>
      </w:r>
      <w:bookmarkEnd w:id="21"/>
      <w:r w:rsidR="00BC47C1" w:rsidRPr="00022DEB">
        <w:rPr>
          <w:rStyle w:val="Hyperlink"/>
          <w:rFonts w:cs="Tahoma"/>
          <w:lang w:val="en-GB"/>
        </w:rPr>
        <w:t>SG/</w:t>
      </w:r>
      <w:proofErr w:type="spellStart"/>
      <w:proofErr w:type="gramStart"/>
      <w:r w:rsidR="00BC47C1" w:rsidRPr="00022DEB">
        <w:rPr>
          <w:rStyle w:val="Hyperlink"/>
          <w:rFonts w:cs="Tahoma"/>
          <w:lang w:val="en-GB"/>
        </w:rPr>
        <w:t>Inf</w:t>
      </w:r>
      <w:proofErr w:type="spellEnd"/>
      <w:r w:rsidR="00BC47C1" w:rsidRPr="00022DEB">
        <w:rPr>
          <w:rStyle w:val="Hyperlink"/>
          <w:rFonts w:cs="Tahoma"/>
          <w:lang w:val="en-GB"/>
        </w:rPr>
        <w:t>(</w:t>
      </w:r>
      <w:proofErr w:type="gramEnd"/>
      <w:r w:rsidR="00BC47C1" w:rsidRPr="00022DEB">
        <w:rPr>
          <w:rStyle w:val="Hyperlink"/>
          <w:rFonts w:cs="Tahoma"/>
          <w:lang w:val="en-GB"/>
        </w:rPr>
        <w:t>2010)8</w:t>
      </w:r>
      <w:r w:rsidR="00BC47C1" w:rsidRPr="00022DEB">
        <w:rPr>
          <w:rFonts w:cs="Tahoma"/>
          <w:lang w:val="en-GB"/>
        </w:rPr>
        <w:fldChar w:fldCharType="end"/>
      </w:r>
      <w:r w:rsidRPr="00022DEB">
        <w:rPr>
          <w:rFonts w:cs="Tahoma"/>
          <w:lang w:val="en-GB"/>
        </w:rPr>
        <w:t xml:space="preserve"> and </w:t>
      </w:r>
      <w:bookmarkStart w:id="22" w:name="_ML_000000000002_PARTIAL"/>
      <w:r w:rsidR="00BC47C1" w:rsidRPr="00022DEB">
        <w:rPr>
          <w:rFonts w:cs="Tahoma"/>
          <w:lang w:val="en-GB"/>
        </w:rPr>
        <w:fldChar w:fldCharType="begin"/>
      </w:r>
      <w:r w:rsidR="00BC47C1" w:rsidRPr="00022DEB">
        <w:rPr>
          <w:rFonts w:cs="Tahoma"/>
          <w:lang w:val="en-GB"/>
        </w:rPr>
        <w:instrText xml:space="preserve"> HYPERLINK "https://search.coe.int/cm/Pages/result_details.aspx?Reference=SG/Inf(2010)19-final" </w:instrText>
      </w:r>
      <w:r w:rsidR="00BC47C1" w:rsidRPr="00022DEB">
        <w:rPr>
          <w:rFonts w:cs="Tahoma"/>
          <w:lang w:val="en-GB"/>
        </w:rPr>
        <w:fldChar w:fldCharType="separate"/>
      </w:r>
      <w:bookmarkEnd w:id="22"/>
      <w:r w:rsidR="00BC47C1" w:rsidRPr="00022DEB">
        <w:rPr>
          <w:rStyle w:val="Hyperlink"/>
          <w:rFonts w:cs="Tahoma"/>
          <w:lang w:val="en-GB"/>
        </w:rPr>
        <w:t>SG/</w:t>
      </w:r>
      <w:proofErr w:type="spellStart"/>
      <w:r w:rsidR="00BC47C1" w:rsidRPr="00022DEB">
        <w:rPr>
          <w:rStyle w:val="Hyperlink"/>
          <w:rFonts w:cs="Tahoma"/>
          <w:lang w:val="en-GB"/>
        </w:rPr>
        <w:t>Inf</w:t>
      </w:r>
      <w:proofErr w:type="spellEnd"/>
      <w:r w:rsidR="00BC47C1" w:rsidRPr="00022DEB">
        <w:rPr>
          <w:rStyle w:val="Hyperlink"/>
          <w:rFonts w:cs="Tahoma"/>
          <w:lang w:val="en-GB"/>
        </w:rPr>
        <w:t>(2010)19-final</w:t>
      </w:r>
      <w:r w:rsidR="00BC47C1" w:rsidRPr="00022DEB">
        <w:rPr>
          <w:rFonts w:cs="Tahoma"/>
          <w:lang w:val="en-GB"/>
        </w:rPr>
        <w:fldChar w:fldCharType="end"/>
      </w:r>
      <w:r w:rsidRPr="00022DEB">
        <w:rPr>
          <w:rFonts w:cs="Tahoma"/>
          <w:lang w:val="en-GB"/>
        </w:rPr>
        <w:t>).</w:t>
      </w:r>
    </w:p>
    <w:p w:rsidR="00E64288" w:rsidRPr="00022DEB" w:rsidRDefault="00E64288" w:rsidP="00E64288">
      <w:pPr>
        <w:tabs>
          <w:tab w:val="left" w:pos="720"/>
        </w:tabs>
        <w:jc w:val="both"/>
        <w:rPr>
          <w:rFonts w:cs="Tahoma"/>
          <w:lang w:val="en-GB"/>
        </w:rPr>
      </w:pPr>
    </w:p>
    <w:p w:rsidR="00E64288" w:rsidRPr="00022DEB" w:rsidRDefault="00E64288" w:rsidP="00E64288">
      <w:pPr>
        <w:numPr>
          <w:ilvl w:val="0"/>
          <w:numId w:val="4"/>
        </w:numPr>
        <w:tabs>
          <w:tab w:val="clear" w:pos="1200"/>
          <w:tab w:val="num" w:pos="720"/>
        </w:tabs>
        <w:ind w:left="720"/>
        <w:jc w:val="both"/>
        <w:rPr>
          <w:rFonts w:cs="Tahoma"/>
          <w:i/>
          <w:lang w:val="en-GB"/>
        </w:rPr>
      </w:pPr>
      <w:r w:rsidRPr="00022DEB">
        <w:rPr>
          <w:rFonts w:cs="Tahoma"/>
          <w:i/>
          <w:lang w:val="en-GB"/>
        </w:rPr>
        <w:t>To accept the principles of the rule of law and of the enjoyment by all persons within its jurisdiction of human rights and fundamental freedoms, and to collaborate sincerely and effectively in the realisation of the aim of the Council of Europe</w:t>
      </w:r>
    </w:p>
    <w:p w:rsidR="00E64288" w:rsidRPr="00022DEB" w:rsidRDefault="00E64288" w:rsidP="00E64288">
      <w:pPr>
        <w:jc w:val="both"/>
        <w:rPr>
          <w:rFonts w:cs="Tahoma"/>
          <w:i/>
          <w:lang w:val="en-GB"/>
        </w:rPr>
      </w:pPr>
    </w:p>
    <w:p w:rsidR="00E64288" w:rsidRPr="00022DEB" w:rsidRDefault="00E64288" w:rsidP="00E64288">
      <w:pPr>
        <w:numPr>
          <w:ilvl w:val="0"/>
          <w:numId w:val="4"/>
        </w:numPr>
        <w:tabs>
          <w:tab w:val="clear" w:pos="1200"/>
          <w:tab w:val="num" w:pos="720"/>
        </w:tabs>
        <w:ind w:left="720"/>
        <w:jc w:val="both"/>
        <w:rPr>
          <w:rFonts w:cs="Tahoma"/>
          <w:i/>
          <w:lang w:val="en-GB"/>
        </w:rPr>
      </w:pPr>
      <w:r w:rsidRPr="00022DEB">
        <w:rPr>
          <w:rFonts w:cs="Tahoma"/>
          <w:i/>
          <w:lang w:val="en-GB"/>
        </w:rPr>
        <w:t xml:space="preserve">To settle international as well as internal disputes by peaceful means (an obligation incumbent upon all member </w:t>
      </w:r>
      <w:r w:rsidR="00E94C36" w:rsidRPr="00022DEB">
        <w:rPr>
          <w:rFonts w:cs="Tahoma"/>
          <w:i/>
          <w:lang w:val="en-GB"/>
        </w:rPr>
        <w:t>S</w:t>
      </w:r>
      <w:r w:rsidRPr="00022DEB">
        <w:rPr>
          <w:rFonts w:cs="Tahoma"/>
          <w:i/>
          <w:lang w:val="en-GB"/>
        </w:rPr>
        <w:t>tates of the Council of Europe), rejecting resolutely any forms of threats of force against its neighbours</w:t>
      </w:r>
    </w:p>
    <w:p w:rsidR="00E64288" w:rsidRPr="00022DEB" w:rsidRDefault="00E64288" w:rsidP="00C779BE">
      <w:pPr>
        <w:autoSpaceDE w:val="0"/>
        <w:autoSpaceDN w:val="0"/>
        <w:adjustRightInd w:val="0"/>
        <w:jc w:val="both"/>
        <w:rPr>
          <w:rFonts w:cs="Tahoma"/>
          <w:lang w:val="en-GB"/>
        </w:rPr>
      </w:pPr>
    </w:p>
    <w:p w:rsidR="004641F3" w:rsidRPr="00022DEB" w:rsidRDefault="007D1036" w:rsidP="004641F3">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022DEB">
        <w:rPr>
          <w:rFonts w:cs="Tahoma"/>
          <w:bCs/>
          <w:lang w:val="en-GB" w:eastAsia="en-GB"/>
        </w:rPr>
        <w:t>T</w:t>
      </w:r>
      <w:r w:rsidR="00225251" w:rsidRPr="00022DEB">
        <w:rPr>
          <w:rFonts w:cs="Tahoma"/>
          <w:bCs/>
          <w:lang w:val="en-GB" w:eastAsia="en-GB"/>
        </w:rPr>
        <w:t xml:space="preserve">here are two Inter-State applications lodged by </w:t>
      </w:r>
      <w:r w:rsidR="00225251" w:rsidRPr="006B2E38">
        <w:rPr>
          <w:rFonts w:cs="Tahoma"/>
          <w:bCs/>
          <w:i/>
          <w:lang w:val="en-GB" w:eastAsia="en-GB"/>
        </w:rPr>
        <w:t>Georgia v. Russia</w:t>
      </w:r>
      <w:r w:rsidR="00225251" w:rsidRPr="00022DEB">
        <w:rPr>
          <w:rFonts w:cs="Tahoma"/>
          <w:bCs/>
          <w:lang w:val="en-GB" w:eastAsia="en-GB"/>
        </w:rPr>
        <w:t xml:space="preserve"> pending before the European Court of Human Rights</w:t>
      </w:r>
      <w:r w:rsidR="00E04DA4" w:rsidRPr="00022DEB">
        <w:rPr>
          <w:rFonts w:cs="Tahoma"/>
          <w:bCs/>
          <w:lang w:val="en-GB" w:eastAsia="en-GB"/>
        </w:rPr>
        <w:t xml:space="preserve"> under article 33 of the rules of the Court</w:t>
      </w:r>
      <w:r w:rsidR="00225251" w:rsidRPr="00022DEB">
        <w:rPr>
          <w:rFonts w:cs="Tahoma"/>
          <w:bCs/>
          <w:lang w:val="en-GB" w:eastAsia="en-GB"/>
        </w:rPr>
        <w:t xml:space="preserve">. </w:t>
      </w:r>
      <w:r w:rsidRPr="00022DEB">
        <w:rPr>
          <w:rFonts w:cs="Tahoma"/>
          <w:bCs/>
          <w:lang w:val="en-GB" w:eastAsia="en-GB"/>
        </w:rPr>
        <w:t>In the I</w:t>
      </w:r>
      <w:r w:rsidR="00341178" w:rsidRPr="00022DEB">
        <w:rPr>
          <w:rFonts w:cs="Tahoma"/>
          <w:bCs/>
          <w:lang w:val="en-GB" w:eastAsia="en-GB"/>
        </w:rPr>
        <w:t>nter-State application No. 38263/08</w:t>
      </w:r>
      <w:r w:rsidRPr="00022DEB">
        <w:rPr>
          <w:rFonts w:cs="Tahoma"/>
          <w:bCs/>
          <w:lang w:val="en-GB" w:eastAsia="en-GB"/>
        </w:rPr>
        <w:t xml:space="preserve"> relating to the 2008 armed conflict between Georgia and the Russian Federation and its aftermath, </w:t>
      </w:r>
      <w:r w:rsidR="00E04DA4" w:rsidRPr="00022DEB">
        <w:rPr>
          <w:rFonts w:cs="Tahoma"/>
          <w:bCs/>
          <w:lang w:val="en-GB" w:eastAsia="en-GB"/>
        </w:rPr>
        <w:t xml:space="preserve">the Court’s decision is pending </w:t>
      </w:r>
      <w:r w:rsidRPr="00022DEB">
        <w:rPr>
          <w:rFonts w:cs="Tahoma"/>
          <w:bCs/>
          <w:lang w:val="en-GB" w:eastAsia="en-GB"/>
        </w:rPr>
        <w:t xml:space="preserve">following the </w:t>
      </w:r>
      <w:r w:rsidR="00E04DA4" w:rsidRPr="00022DEB">
        <w:rPr>
          <w:rFonts w:cs="Tahoma"/>
          <w:bCs/>
          <w:lang w:val="en-GB" w:eastAsia="en-GB"/>
        </w:rPr>
        <w:t>G</w:t>
      </w:r>
      <w:r w:rsidRPr="00022DEB">
        <w:rPr>
          <w:rFonts w:cs="Tahoma"/>
          <w:bCs/>
          <w:lang w:val="en-GB" w:eastAsia="en-GB"/>
        </w:rPr>
        <w:t xml:space="preserve">rand Chamber hearing on the merits </w:t>
      </w:r>
      <w:r w:rsidR="00E04DA4" w:rsidRPr="00022DEB">
        <w:rPr>
          <w:rFonts w:cs="Tahoma"/>
          <w:bCs/>
          <w:lang w:val="en-GB" w:eastAsia="en-GB"/>
        </w:rPr>
        <w:t xml:space="preserve">on 23 May 2018. There are no developments to report regarding the Inter-State application 39611/18 </w:t>
      </w:r>
      <w:r w:rsidR="00756B79" w:rsidRPr="00022DEB">
        <w:rPr>
          <w:rFonts w:cs="Tahoma"/>
          <w:bCs/>
          <w:lang w:val="en-GB" w:eastAsia="en-GB"/>
        </w:rPr>
        <w:t xml:space="preserve">lodged </w:t>
      </w:r>
      <w:r w:rsidR="00633EF1" w:rsidRPr="00022DEB">
        <w:rPr>
          <w:rFonts w:cs="Tahoma"/>
          <w:bCs/>
          <w:lang w:val="en-GB" w:eastAsia="en-GB"/>
        </w:rPr>
        <w:t xml:space="preserve">in August 2018 </w:t>
      </w:r>
      <w:r w:rsidR="00E04DA4" w:rsidRPr="00022DEB">
        <w:rPr>
          <w:rFonts w:cs="Tahoma"/>
          <w:bCs/>
          <w:lang w:val="en-GB" w:eastAsia="en-GB"/>
        </w:rPr>
        <w:t>on the</w:t>
      </w:r>
      <w:r w:rsidR="00906DFE" w:rsidRPr="00022DEB">
        <w:rPr>
          <w:rFonts w:cs="Tahoma"/>
          <w:bCs/>
          <w:lang w:val="en-GB" w:eastAsia="en-GB"/>
        </w:rPr>
        <w:t xml:space="preserve"> alleged </w:t>
      </w:r>
      <w:r w:rsidR="00E04DA4" w:rsidRPr="00022DEB">
        <w:rPr>
          <w:rFonts w:cs="Tahoma"/>
          <w:bCs/>
          <w:lang w:val="en-GB" w:eastAsia="en-GB"/>
        </w:rPr>
        <w:t xml:space="preserve">deterioration of the human rights </w:t>
      </w:r>
      <w:r w:rsidR="00906DFE" w:rsidRPr="00022DEB">
        <w:rPr>
          <w:rFonts w:cs="Tahoma"/>
          <w:bCs/>
          <w:lang w:val="en-GB" w:eastAsia="en-GB"/>
        </w:rPr>
        <w:t xml:space="preserve">situation along the ABL. </w:t>
      </w:r>
    </w:p>
    <w:p w:rsidR="004641F3" w:rsidRPr="00022DEB" w:rsidRDefault="004641F3" w:rsidP="004641F3">
      <w:pPr>
        <w:tabs>
          <w:tab w:val="num" w:pos="720"/>
        </w:tabs>
        <w:autoSpaceDE w:val="0"/>
        <w:autoSpaceDN w:val="0"/>
        <w:adjustRightInd w:val="0"/>
        <w:jc w:val="both"/>
        <w:rPr>
          <w:rFonts w:cs="Tahoma"/>
          <w:bCs/>
          <w:lang w:val="en-GB" w:eastAsia="en-GB"/>
        </w:rPr>
      </w:pPr>
    </w:p>
    <w:p w:rsidR="004641F3" w:rsidRPr="00022DEB" w:rsidRDefault="004641F3" w:rsidP="004641F3">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022DEB">
        <w:rPr>
          <w:rFonts w:cs="Tahoma"/>
          <w:bCs/>
          <w:lang w:val="en-GB" w:eastAsia="en-GB"/>
        </w:rPr>
        <w:t xml:space="preserve">As regards individual cases related to the conflict, </w:t>
      </w:r>
      <w:r w:rsidR="00900105" w:rsidRPr="00022DEB">
        <w:rPr>
          <w:rFonts w:cs="Tahoma"/>
          <w:bCs/>
          <w:lang w:val="en-GB" w:eastAsia="en-GB"/>
        </w:rPr>
        <w:t xml:space="preserve">in December 2018, </w:t>
      </w:r>
      <w:r w:rsidRPr="00022DEB">
        <w:rPr>
          <w:rFonts w:cs="Tahoma"/>
          <w:bCs/>
          <w:lang w:val="en-GB" w:eastAsia="en-GB"/>
        </w:rPr>
        <w:t xml:space="preserve">the Court decided to notify the Georgian </w:t>
      </w:r>
      <w:r w:rsidR="006B2E38">
        <w:rPr>
          <w:rFonts w:cs="Tahoma"/>
          <w:bCs/>
          <w:lang w:val="en-GB" w:eastAsia="en-GB"/>
        </w:rPr>
        <w:t>g</w:t>
      </w:r>
      <w:r w:rsidRPr="00022DEB">
        <w:rPr>
          <w:rFonts w:cs="Tahoma"/>
          <w:bCs/>
          <w:lang w:val="en-GB" w:eastAsia="en-GB"/>
        </w:rPr>
        <w:t>overnment o</w:t>
      </w:r>
      <w:r w:rsidR="006B2E38">
        <w:rPr>
          <w:rFonts w:cs="Tahoma"/>
          <w:bCs/>
          <w:lang w:val="en-GB" w:eastAsia="en-GB"/>
        </w:rPr>
        <w:t>f</w:t>
      </w:r>
      <w:r w:rsidRPr="00022DEB">
        <w:rPr>
          <w:rFonts w:cs="Tahoma"/>
          <w:bCs/>
          <w:lang w:val="en-GB" w:eastAsia="en-GB"/>
        </w:rPr>
        <w:t xml:space="preserve"> the complaints brought by one of the applicants </w:t>
      </w:r>
      <w:r w:rsidR="00900105" w:rsidRPr="00022DEB">
        <w:rPr>
          <w:rFonts w:cs="Tahoma"/>
          <w:bCs/>
          <w:lang w:val="en-GB" w:eastAsia="en-GB"/>
        </w:rPr>
        <w:t xml:space="preserve">under Article 2, 3, 13 and 14. The Court also rejected several other applications against Georgia as inadmissible. The procedure in other </w:t>
      </w:r>
      <w:r w:rsidR="00DD2E43" w:rsidRPr="00022DEB">
        <w:rPr>
          <w:rFonts w:cs="Tahoma"/>
          <w:bCs/>
          <w:lang w:val="en-GB" w:eastAsia="en-GB"/>
        </w:rPr>
        <w:t xml:space="preserve">individual </w:t>
      </w:r>
      <w:r w:rsidR="00900105" w:rsidRPr="00022DEB">
        <w:rPr>
          <w:rFonts w:cs="Tahoma"/>
          <w:bCs/>
          <w:lang w:val="en-GB" w:eastAsia="en-GB"/>
        </w:rPr>
        <w:t>applications against Georgia, Russia</w:t>
      </w:r>
      <w:r w:rsidR="00DD2E43" w:rsidRPr="00022DEB">
        <w:rPr>
          <w:rFonts w:cs="Tahoma"/>
          <w:bCs/>
          <w:lang w:val="en-GB" w:eastAsia="en-GB"/>
        </w:rPr>
        <w:t>,</w:t>
      </w:r>
      <w:r w:rsidR="00900105" w:rsidRPr="00022DEB">
        <w:rPr>
          <w:rFonts w:cs="Tahoma"/>
          <w:bCs/>
          <w:lang w:val="en-GB" w:eastAsia="en-GB"/>
        </w:rPr>
        <w:t xml:space="preserve"> or both </w:t>
      </w:r>
      <w:r w:rsidR="00DD2E43" w:rsidRPr="00022DEB">
        <w:rPr>
          <w:rFonts w:cs="Tahoma"/>
          <w:bCs/>
          <w:lang w:val="en-GB" w:eastAsia="en-GB"/>
        </w:rPr>
        <w:t xml:space="preserve">states </w:t>
      </w:r>
      <w:r w:rsidR="00900105" w:rsidRPr="00022DEB">
        <w:rPr>
          <w:rFonts w:cs="Tahoma"/>
          <w:bCs/>
          <w:lang w:val="en-GB" w:eastAsia="en-GB"/>
        </w:rPr>
        <w:t xml:space="preserve">is ongoing. </w:t>
      </w:r>
    </w:p>
    <w:p w:rsidR="00341178" w:rsidRPr="00022DEB" w:rsidRDefault="00341178" w:rsidP="006B2E38">
      <w:pPr>
        <w:tabs>
          <w:tab w:val="num" w:pos="720"/>
        </w:tabs>
        <w:autoSpaceDE w:val="0"/>
        <w:autoSpaceDN w:val="0"/>
        <w:adjustRightInd w:val="0"/>
        <w:jc w:val="both"/>
        <w:rPr>
          <w:rFonts w:cs="Tahoma"/>
          <w:bCs/>
          <w:lang w:val="en-GB" w:eastAsia="en-GB"/>
        </w:rPr>
      </w:pPr>
    </w:p>
    <w:p w:rsidR="00906DFE" w:rsidRPr="00022DEB" w:rsidRDefault="00036B6D" w:rsidP="006B2E38">
      <w:pPr>
        <w:numPr>
          <w:ilvl w:val="0"/>
          <w:numId w:val="5"/>
        </w:numPr>
        <w:tabs>
          <w:tab w:val="clear" w:pos="360"/>
          <w:tab w:val="num" w:pos="0"/>
          <w:tab w:val="num" w:pos="720"/>
        </w:tabs>
        <w:autoSpaceDE w:val="0"/>
        <w:autoSpaceDN w:val="0"/>
        <w:adjustRightInd w:val="0"/>
        <w:ind w:left="0" w:firstLine="0"/>
        <w:jc w:val="both"/>
        <w:rPr>
          <w:rFonts w:cs="Tahoma"/>
          <w:lang w:val="en-GB"/>
        </w:rPr>
      </w:pPr>
      <w:r w:rsidRPr="00022DEB">
        <w:rPr>
          <w:rFonts w:cs="Tahoma"/>
          <w:bCs/>
          <w:lang w:val="en-GB" w:eastAsia="en-GB"/>
        </w:rPr>
        <w:t>T</w:t>
      </w:r>
      <w:r w:rsidR="00341178" w:rsidRPr="00022DEB">
        <w:rPr>
          <w:rFonts w:cs="Tahoma"/>
          <w:bCs/>
          <w:lang w:val="en-GB" w:eastAsia="en-GB"/>
        </w:rPr>
        <w:t xml:space="preserve">he investigation authorised by the International Criminal Court </w:t>
      </w:r>
      <w:r w:rsidR="00476091" w:rsidRPr="00022DEB">
        <w:rPr>
          <w:rFonts w:cs="Tahoma"/>
          <w:bCs/>
          <w:lang w:val="en-GB" w:eastAsia="en-GB"/>
        </w:rPr>
        <w:t xml:space="preserve">(ICC) </w:t>
      </w:r>
      <w:r w:rsidR="00341178" w:rsidRPr="00022DEB">
        <w:rPr>
          <w:rFonts w:cs="Tahoma"/>
          <w:bCs/>
          <w:lang w:val="en-GB" w:eastAsia="en-GB"/>
        </w:rPr>
        <w:t xml:space="preserve">and conducted by the ICC Prosecutor </w:t>
      </w:r>
      <w:r w:rsidRPr="00022DEB">
        <w:rPr>
          <w:rFonts w:cs="Tahoma"/>
          <w:bCs/>
          <w:lang w:val="en-GB" w:eastAsia="en-GB"/>
        </w:rPr>
        <w:t>into alleged crimes committed</w:t>
      </w:r>
      <w:r w:rsidR="006B2E38">
        <w:rPr>
          <w:rFonts w:cs="Tahoma"/>
          <w:bCs/>
          <w:lang w:val="en-GB" w:eastAsia="en-GB"/>
        </w:rPr>
        <w:t xml:space="preserve"> </w:t>
      </w:r>
      <w:r w:rsidRPr="00022DEB">
        <w:rPr>
          <w:rFonts w:cs="Tahoma"/>
          <w:bCs/>
          <w:lang w:val="en-GB" w:eastAsia="en-GB"/>
        </w:rPr>
        <w:t xml:space="preserve">in the context of an </w:t>
      </w:r>
      <w:r w:rsidRPr="00022DEB">
        <w:rPr>
          <w:rFonts w:cs="Tahoma"/>
          <w:bCs/>
          <w:lang w:val="en-GB" w:eastAsia="en-GB"/>
        </w:rPr>
        <w:lastRenderedPageBreak/>
        <w:t xml:space="preserve">international armed conflict between 1 July and 10 October 2008 in and around South Ossetia continued during the period under review. </w:t>
      </w:r>
    </w:p>
    <w:p w:rsidR="00C779BE" w:rsidRPr="00022DEB" w:rsidRDefault="00C779BE" w:rsidP="006B2E38">
      <w:pPr>
        <w:widowControl w:val="0"/>
        <w:rPr>
          <w:rFonts w:cs="Tahoma"/>
          <w:lang w:val="en-GB"/>
        </w:rPr>
      </w:pPr>
    </w:p>
    <w:p w:rsidR="00E64288" w:rsidRPr="00022DEB" w:rsidRDefault="00E64288" w:rsidP="006B2E38">
      <w:pPr>
        <w:widowControl w:val="0"/>
        <w:numPr>
          <w:ilvl w:val="0"/>
          <w:numId w:val="4"/>
        </w:numPr>
        <w:tabs>
          <w:tab w:val="clear" w:pos="1200"/>
          <w:tab w:val="num" w:pos="720"/>
        </w:tabs>
        <w:ind w:left="720"/>
        <w:jc w:val="both"/>
        <w:rPr>
          <w:rFonts w:cs="Tahoma"/>
          <w:i/>
          <w:lang w:val="en-GB"/>
        </w:rPr>
      </w:pPr>
      <w:r w:rsidRPr="00022DEB">
        <w:rPr>
          <w:rFonts w:cs="Tahoma"/>
          <w:i/>
          <w:lang w:val="en-GB"/>
        </w:rPr>
        <w:t>To respect strictly the provisions of international humanitarian law, including in cases of armed conflict on its territory</w:t>
      </w:r>
    </w:p>
    <w:p w:rsidR="00AB2E14" w:rsidRPr="00022DEB" w:rsidRDefault="00AB2E14" w:rsidP="006B2E38">
      <w:pPr>
        <w:widowControl w:val="0"/>
        <w:rPr>
          <w:rFonts w:cs="Tahoma"/>
          <w:lang w:val="en-GB"/>
        </w:rPr>
      </w:pPr>
    </w:p>
    <w:p w:rsidR="00DB14B9" w:rsidRPr="00022DEB" w:rsidRDefault="00DB14B9" w:rsidP="006B2E38">
      <w:pPr>
        <w:widowControl w:val="0"/>
        <w:numPr>
          <w:ilvl w:val="0"/>
          <w:numId w:val="5"/>
        </w:numPr>
        <w:tabs>
          <w:tab w:val="clear" w:pos="360"/>
        </w:tabs>
        <w:ind w:left="0" w:firstLine="0"/>
        <w:jc w:val="both"/>
        <w:rPr>
          <w:rFonts w:cs="Tahoma"/>
          <w:lang w:val="en-GB"/>
        </w:rPr>
      </w:pPr>
      <w:r w:rsidRPr="00022DEB">
        <w:rPr>
          <w:rFonts w:cs="Tahoma"/>
          <w:lang w:val="en-GB"/>
        </w:rPr>
        <w:t>The delegation was informed that as part of a government reshuffle in 2018, the issues pertaining to missing persons in the territories controlled by the Georgian central government were transferred within the competence of the Office of the SMR.</w:t>
      </w:r>
    </w:p>
    <w:p w:rsidR="00DB14B9" w:rsidRPr="00022DEB" w:rsidRDefault="00DB14B9" w:rsidP="002B728B">
      <w:pPr>
        <w:widowControl w:val="0"/>
        <w:jc w:val="both"/>
        <w:rPr>
          <w:rFonts w:cs="Tahoma"/>
          <w:lang w:val="en-GB"/>
        </w:rPr>
      </w:pPr>
    </w:p>
    <w:p w:rsidR="002E7817" w:rsidRPr="00022DEB" w:rsidRDefault="00341178" w:rsidP="002B728B">
      <w:pPr>
        <w:keepLines/>
        <w:widowControl w:val="0"/>
        <w:numPr>
          <w:ilvl w:val="0"/>
          <w:numId w:val="5"/>
        </w:numPr>
        <w:tabs>
          <w:tab w:val="clear" w:pos="360"/>
        </w:tabs>
        <w:ind w:left="0" w:firstLine="0"/>
        <w:jc w:val="both"/>
        <w:rPr>
          <w:rFonts w:cs="Tahoma"/>
          <w:lang w:val="en-GB"/>
        </w:rPr>
      </w:pPr>
      <w:r w:rsidRPr="00022DEB">
        <w:rPr>
          <w:rFonts w:cs="Tahoma"/>
          <w:lang w:val="en-GB"/>
        </w:rPr>
        <w:t xml:space="preserve">The </w:t>
      </w:r>
      <w:r w:rsidR="00476091" w:rsidRPr="00022DEB">
        <w:rPr>
          <w:rFonts w:cs="Tahoma"/>
          <w:lang w:val="en-GB"/>
        </w:rPr>
        <w:t>International Committee of Red Cross (</w:t>
      </w:r>
      <w:r w:rsidRPr="00022DEB">
        <w:rPr>
          <w:rFonts w:cs="Tahoma"/>
          <w:lang w:val="en-GB"/>
        </w:rPr>
        <w:t>ICRC</w:t>
      </w:r>
      <w:r w:rsidR="00476091" w:rsidRPr="00022DEB">
        <w:rPr>
          <w:rFonts w:cs="Tahoma"/>
          <w:lang w:val="en-GB"/>
        </w:rPr>
        <w:t>)</w:t>
      </w:r>
      <w:r w:rsidR="00F02B82" w:rsidRPr="00022DEB">
        <w:rPr>
          <w:rFonts w:cs="Tahoma"/>
          <w:lang w:val="en-GB"/>
        </w:rPr>
        <w:t xml:space="preserve"> continued</w:t>
      </w:r>
      <w:r w:rsidRPr="00022DEB">
        <w:rPr>
          <w:rFonts w:cs="Tahoma"/>
          <w:lang w:val="en-GB"/>
        </w:rPr>
        <w:t xml:space="preserve"> to support efforts aimed at clarifying the fate of missing persons. </w:t>
      </w:r>
      <w:r w:rsidR="007F05F4" w:rsidRPr="00022DEB">
        <w:rPr>
          <w:rFonts w:cs="Tahoma"/>
          <w:lang w:val="en-GB"/>
        </w:rPr>
        <w:t>A meeting of the coordination m</w:t>
      </w:r>
      <w:r w:rsidRPr="00022DEB">
        <w:rPr>
          <w:rFonts w:cs="Tahoma"/>
          <w:lang w:val="en-GB"/>
        </w:rPr>
        <w:t xml:space="preserve">echanism </w:t>
      </w:r>
      <w:r w:rsidR="007F05F4" w:rsidRPr="00022DEB">
        <w:rPr>
          <w:rFonts w:cs="Tahoma"/>
          <w:lang w:val="en-GB"/>
        </w:rPr>
        <w:t xml:space="preserve">that brings together Georgian, South Ossetian and Russian participants under the ICRC auspices took place in </w:t>
      </w:r>
      <w:proofErr w:type="spellStart"/>
      <w:r w:rsidR="007F05F4" w:rsidRPr="00022DEB">
        <w:rPr>
          <w:rFonts w:cs="Tahoma"/>
          <w:lang w:val="en-GB"/>
        </w:rPr>
        <w:t>Ergneti</w:t>
      </w:r>
      <w:proofErr w:type="spellEnd"/>
      <w:r w:rsidR="007F05F4" w:rsidRPr="00022DEB">
        <w:rPr>
          <w:rFonts w:cs="Tahoma"/>
          <w:lang w:val="en-GB"/>
        </w:rPr>
        <w:t xml:space="preserve"> on 16 November 2018 to discuss practical steps in clarifying the </w:t>
      </w:r>
      <w:r w:rsidR="00A9771D" w:rsidRPr="00022DEB">
        <w:rPr>
          <w:rFonts w:cs="Tahoma"/>
          <w:lang w:val="en-GB"/>
        </w:rPr>
        <w:t xml:space="preserve">fate of </w:t>
      </w:r>
      <w:r w:rsidR="00BF7300" w:rsidRPr="00022DEB">
        <w:rPr>
          <w:rFonts w:cs="Tahoma"/>
          <w:lang w:val="en-GB"/>
        </w:rPr>
        <w:t xml:space="preserve">160 </w:t>
      </w:r>
      <w:r w:rsidR="007F05F4" w:rsidRPr="00022DEB">
        <w:rPr>
          <w:rFonts w:cs="Tahoma"/>
          <w:lang w:val="en-GB"/>
        </w:rPr>
        <w:t>unaccounted people during the conflicts of the 1990s, August 2008</w:t>
      </w:r>
      <w:r w:rsidR="00FA4649" w:rsidRPr="00022DEB">
        <w:rPr>
          <w:rFonts w:cs="Tahoma"/>
          <w:lang w:val="en-GB"/>
        </w:rPr>
        <w:t xml:space="preserve"> and their aftermath. P</w:t>
      </w:r>
      <w:r w:rsidR="00FA4649" w:rsidRPr="00022DEB">
        <w:rPr>
          <w:lang w:val="en-GB"/>
        </w:rPr>
        <w:t>articipants reiterated their strong commitment to support and maintain this process in its strictly humanitarian character.</w:t>
      </w:r>
      <w:r w:rsidR="00FA4649" w:rsidRPr="00022DEB">
        <w:rPr>
          <w:rStyle w:val="FootnoteReference"/>
          <w:lang w:val="en-GB"/>
        </w:rPr>
        <w:footnoteReference w:id="11"/>
      </w:r>
      <w:r w:rsidR="00FA4649" w:rsidRPr="00022DEB">
        <w:rPr>
          <w:lang w:val="en-GB"/>
        </w:rPr>
        <w:t xml:space="preserve"> </w:t>
      </w:r>
      <w:r w:rsidR="00A9771D" w:rsidRPr="00022DEB">
        <w:rPr>
          <w:rFonts w:cs="Tahoma"/>
          <w:lang w:val="en-GB"/>
        </w:rPr>
        <w:t>The coordination mechanism comprising Georgian and Abkhaz participants met in Yerevan, on 4 December 2018</w:t>
      </w:r>
      <w:r w:rsidR="00FA4649" w:rsidRPr="00022DEB">
        <w:rPr>
          <w:rFonts w:cs="Tahoma"/>
          <w:lang w:val="en-GB"/>
        </w:rPr>
        <w:t xml:space="preserve">. </w:t>
      </w:r>
      <w:r w:rsidR="00A216B3" w:rsidRPr="00022DEB">
        <w:rPr>
          <w:lang w:val="en-GB"/>
        </w:rPr>
        <w:t>P</w:t>
      </w:r>
      <w:r w:rsidR="0018087C" w:rsidRPr="00022DEB">
        <w:rPr>
          <w:lang w:val="en-GB"/>
        </w:rPr>
        <w:t xml:space="preserve">rogress in 23 cases within the framework of two mechanisms </w:t>
      </w:r>
      <w:r w:rsidR="00A216B3" w:rsidRPr="00022DEB">
        <w:rPr>
          <w:lang w:val="en-GB"/>
        </w:rPr>
        <w:t>was reported on 12 March</w:t>
      </w:r>
      <w:r w:rsidR="002E7817" w:rsidRPr="00022DEB">
        <w:rPr>
          <w:lang w:val="en-GB"/>
        </w:rPr>
        <w:t>.</w:t>
      </w:r>
      <w:r w:rsidR="00A216B3" w:rsidRPr="00022DEB">
        <w:rPr>
          <w:rStyle w:val="FootnoteReference"/>
          <w:lang w:val="en-GB"/>
        </w:rPr>
        <w:footnoteReference w:id="12"/>
      </w:r>
      <w:r w:rsidR="002E7817" w:rsidRPr="00022DEB">
        <w:rPr>
          <w:lang w:val="en-GB"/>
        </w:rPr>
        <w:t xml:space="preserve"> </w:t>
      </w:r>
    </w:p>
    <w:p w:rsidR="002E7817" w:rsidRPr="00022DEB" w:rsidRDefault="002E7817" w:rsidP="002B728B">
      <w:pPr>
        <w:widowControl w:val="0"/>
        <w:rPr>
          <w:rFonts w:cs="Tahoma"/>
          <w:lang w:val="en-GB"/>
        </w:rPr>
      </w:pPr>
    </w:p>
    <w:p w:rsidR="002E7817" w:rsidRPr="00022DEB" w:rsidRDefault="002E7817" w:rsidP="002E7817">
      <w:pPr>
        <w:numPr>
          <w:ilvl w:val="0"/>
          <w:numId w:val="5"/>
        </w:numPr>
        <w:tabs>
          <w:tab w:val="clear" w:pos="360"/>
        </w:tabs>
        <w:ind w:left="0" w:firstLine="0"/>
        <w:jc w:val="both"/>
        <w:rPr>
          <w:rFonts w:cs="Tahoma"/>
          <w:lang w:val="en-GB"/>
        </w:rPr>
      </w:pPr>
      <w:r w:rsidRPr="00022DEB">
        <w:rPr>
          <w:rFonts w:cs="Tahoma"/>
          <w:lang w:val="en-GB"/>
        </w:rPr>
        <w:t xml:space="preserve">In addition to the work on missing persons, the ICRC </w:t>
      </w:r>
      <w:r w:rsidR="00B014E4" w:rsidRPr="00022DEB">
        <w:rPr>
          <w:rFonts w:cs="Tahoma"/>
          <w:lang w:val="en-GB"/>
        </w:rPr>
        <w:t>facilitated</w:t>
      </w:r>
      <w:r w:rsidR="00DB14B9" w:rsidRPr="00022DEB">
        <w:rPr>
          <w:rFonts w:cs="Tahoma"/>
          <w:lang w:val="en-GB"/>
        </w:rPr>
        <w:t xml:space="preserve"> </w:t>
      </w:r>
      <w:r w:rsidRPr="00022DEB">
        <w:rPr>
          <w:rFonts w:cs="Tahoma"/>
          <w:lang w:val="en-GB"/>
        </w:rPr>
        <w:t xml:space="preserve">accompaniment of </w:t>
      </w:r>
      <w:r w:rsidR="00DB14B9" w:rsidRPr="00022DEB">
        <w:rPr>
          <w:rFonts w:cs="Tahoma"/>
          <w:lang w:val="en-GB"/>
        </w:rPr>
        <w:t>families of the</w:t>
      </w:r>
      <w:r w:rsidR="00B014E4" w:rsidRPr="00022DEB">
        <w:rPr>
          <w:rFonts w:cs="Tahoma"/>
          <w:lang w:val="en-GB"/>
        </w:rPr>
        <w:t xml:space="preserve"> missing, </w:t>
      </w:r>
      <w:r w:rsidR="00DB14B9" w:rsidRPr="00022DEB">
        <w:rPr>
          <w:rFonts w:cs="Tahoma"/>
          <w:lang w:val="en-GB"/>
        </w:rPr>
        <w:t>restoration of family links</w:t>
      </w:r>
      <w:r w:rsidR="00B014E4" w:rsidRPr="00022DEB">
        <w:rPr>
          <w:rFonts w:cs="Tahoma"/>
          <w:lang w:val="en-GB"/>
        </w:rPr>
        <w:t xml:space="preserve">, protection of detainees as well as </w:t>
      </w:r>
      <w:r w:rsidR="00DB14B9" w:rsidRPr="00022DEB">
        <w:rPr>
          <w:rFonts w:cs="Tahoma"/>
          <w:lang w:val="en-GB"/>
        </w:rPr>
        <w:t>transfers for medical treatment</w:t>
      </w:r>
      <w:r w:rsidRPr="00022DEB">
        <w:rPr>
          <w:rFonts w:cs="Tahoma"/>
          <w:lang w:val="en-GB"/>
        </w:rPr>
        <w:t xml:space="preserve"> </w:t>
      </w:r>
      <w:r w:rsidR="00DB14B9" w:rsidRPr="00022DEB">
        <w:rPr>
          <w:rFonts w:cs="Tahoma"/>
          <w:lang w:val="en-GB"/>
        </w:rPr>
        <w:t xml:space="preserve">of </w:t>
      </w:r>
      <w:r w:rsidRPr="00022DEB">
        <w:rPr>
          <w:rFonts w:cs="Tahoma"/>
          <w:lang w:val="en-GB"/>
        </w:rPr>
        <w:t xml:space="preserve">persons </w:t>
      </w:r>
      <w:r w:rsidR="00DB14B9" w:rsidRPr="00022DEB">
        <w:rPr>
          <w:rFonts w:cs="Tahoma"/>
          <w:lang w:val="en-GB"/>
        </w:rPr>
        <w:t>living in and around Tskhinvali</w:t>
      </w:r>
      <w:r w:rsidR="00B014E4" w:rsidRPr="00022DEB">
        <w:rPr>
          <w:rFonts w:cs="Tahoma"/>
          <w:lang w:val="en-GB"/>
        </w:rPr>
        <w:t>. It also continued to conduct activities aimed at promoting international humanitarian law (IHL) in Georgia including by supporting the Working Group within the IHL national commission to integrate possible amendments</w:t>
      </w:r>
      <w:r w:rsidR="00D46F95" w:rsidRPr="00022DEB">
        <w:rPr>
          <w:rFonts w:cs="Tahoma"/>
          <w:lang w:val="en-GB"/>
        </w:rPr>
        <w:t xml:space="preserve"> in the criminal legislation as well as</w:t>
      </w:r>
      <w:r w:rsidR="00B014E4" w:rsidRPr="00022DEB">
        <w:rPr>
          <w:rFonts w:cs="Tahoma"/>
          <w:lang w:val="en-GB"/>
        </w:rPr>
        <w:t xml:space="preserve"> </w:t>
      </w:r>
      <w:r w:rsidR="00D46F95" w:rsidRPr="00022DEB">
        <w:rPr>
          <w:rFonts w:cs="Tahoma"/>
          <w:lang w:val="en-GB"/>
        </w:rPr>
        <w:t xml:space="preserve">delivering pre- IHL training for members of armed forces.  </w:t>
      </w:r>
    </w:p>
    <w:p w:rsidR="004B4D23" w:rsidRPr="00022DEB" w:rsidRDefault="004B4D23" w:rsidP="004B4D23">
      <w:pPr>
        <w:jc w:val="both"/>
        <w:rPr>
          <w:rFonts w:cs="Tahoma"/>
          <w:lang w:val="en-GB"/>
        </w:rPr>
      </w:pPr>
    </w:p>
    <w:p w:rsidR="00E64288" w:rsidRPr="00022DEB" w:rsidRDefault="00E64288" w:rsidP="00E64288">
      <w:pPr>
        <w:numPr>
          <w:ilvl w:val="0"/>
          <w:numId w:val="4"/>
        </w:numPr>
        <w:tabs>
          <w:tab w:val="clear" w:pos="1200"/>
          <w:tab w:val="num" w:pos="720"/>
        </w:tabs>
        <w:ind w:left="720"/>
        <w:jc w:val="both"/>
        <w:rPr>
          <w:rFonts w:cs="Tahoma"/>
          <w:i/>
          <w:lang w:val="en-GB"/>
        </w:rPr>
      </w:pPr>
      <w:r w:rsidRPr="00022DEB">
        <w:rPr>
          <w:rFonts w:cs="Tahoma"/>
          <w:i/>
          <w:lang w:val="en-GB"/>
        </w:rPr>
        <w:t>To co-operate in good faith with international humanitarian organisations and to enable them to carry out their activities on its territory in conformity with their mandates</w:t>
      </w:r>
    </w:p>
    <w:p w:rsidR="00E64288" w:rsidRPr="00022DEB" w:rsidRDefault="00E64288" w:rsidP="00E64288">
      <w:pPr>
        <w:jc w:val="both"/>
        <w:rPr>
          <w:rFonts w:cs="Tahoma"/>
          <w:i/>
          <w:lang w:val="en-GB"/>
        </w:rPr>
      </w:pPr>
    </w:p>
    <w:p w:rsidR="00E64288" w:rsidRPr="00022DEB" w:rsidRDefault="00E64288" w:rsidP="00E64288">
      <w:pPr>
        <w:numPr>
          <w:ilvl w:val="0"/>
          <w:numId w:val="4"/>
        </w:numPr>
        <w:tabs>
          <w:tab w:val="clear" w:pos="1200"/>
          <w:tab w:val="num" w:pos="720"/>
        </w:tabs>
        <w:ind w:left="720"/>
        <w:jc w:val="both"/>
        <w:rPr>
          <w:rFonts w:cs="Tahoma"/>
          <w:i/>
          <w:lang w:val="en-GB"/>
        </w:rPr>
      </w:pPr>
      <w:r w:rsidRPr="00022DEB">
        <w:rPr>
          <w:rFonts w:cs="Tahoma"/>
          <w:i/>
          <w:lang w:val="en-GB"/>
        </w:rPr>
        <w:t>To facilitate the delivery of humanitarian aid to the most vulnerable groups of the population affected by the consequences of the conflict</w:t>
      </w:r>
    </w:p>
    <w:p w:rsidR="00657EBB" w:rsidRPr="00022DEB" w:rsidRDefault="00657EBB" w:rsidP="00657EBB">
      <w:pPr>
        <w:jc w:val="both"/>
        <w:rPr>
          <w:bCs/>
          <w:lang w:val="en-GB"/>
        </w:rPr>
      </w:pPr>
    </w:p>
    <w:p w:rsidR="00F60CE6" w:rsidRPr="00022DEB" w:rsidRDefault="0053636D" w:rsidP="00C5782F">
      <w:pPr>
        <w:numPr>
          <w:ilvl w:val="0"/>
          <w:numId w:val="5"/>
        </w:numPr>
        <w:tabs>
          <w:tab w:val="clear" w:pos="360"/>
        </w:tabs>
        <w:ind w:left="0" w:firstLine="0"/>
        <w:jc w:val="both"/>
        <w:rPr>
          <w:rFonts w:cs="Tahoma"/>
          <w:bCs/>
          <w:lang w:val="en-GB"/>
        </w:rPr>
      </w:pPr>
      <w:r w:rsidRPr="00022DEB">
        <w:rPr>
          <w:lang w:val="en-GB"/>
        </w:rPr>
        <w:t>T</w:t>
      </w:r>
      <w:r w:rsidRPr="00022DEB">
        <w:rPr>
          <w:bCs/>
          <w:lang w:val="en-GB"/>
        </w:rPr>
        <w:t>he Georgian authorities continue to reiterate their support to actions and steps beneficial for building trust and direct contac</w:t>
      </w:r>
      <w:r w:rsidR="00C244FF" w:rsidRPr="00022DEB">
        <w:rPr>
          <w:bCs/>
          <w:lang w:val="en-GB"/>
        </w:rPr>
        <w:t>ts between divided communities.</w:t>
      </w:r>
      <w:r w:rsidR="00DD2E43" w:rsidRPr="00022DEB">
        <w:rPr>
          <w:bCs/>
          <w:lang w:val="en-GB"/>
        </w:rPr>
        <w:t xml:space="preserve"> </w:t>
      </w:r>
      <w:r w:rsidR="001A4C94" w:rsidRPr="00022DEB">
        <w:rPr>
          <w:bCs/>
          <w:lang w:val="en-GB"/>
        </w:rPr>
        <w:t xml:space="preserve">In meetings with the delegation, </w:t>
      </w:r>
      <w:r w:rsidR="001A4C94" w:rsidRPr="00022DEB">
        <w:rPr>
          <w:rFonts w:cs="Tahoma"/>
          <w:bCs/>
          <w:lang w:val="en-GB"/>
        </w:rPr>
        <w:t>they underscored the need not to politicise ongoing humanitarian efforts and people-to-people contacts, including those envisaged under the “</w:t>
      </w:r>
      <w:r w:rsidR="004F47A2" w:rsidRPr="00022DEB">
        <w:rPr>
          <w:rFonts w:cs="Tahoma"/>
          <w:bCs/>
          <w:lang w:val="en-GB"/>
        </w:rPr>
        <w:t>Step to a Better Future” policy</w:t>
      </w:r>
      <w:r w:rsidR="001A4C94" w:rsidRPr="00022DEB">
        <w:rPr>
          <w:rFonts w:cs="Tahoma"/>
          <w:bCs/>
          <w:lang w:val="en-GB"/>
        </w:rPr>
        <w:t xml:space="preserve">. </w:t>
      </w:r>
      <w:r w:rsidR="00C244FF" w:rsidRPr="00022DEB">
        <w:rPr>
          <w:rFonts w:cs="Tahoma"/>
          <w:bCs/>
          <w:lang w:val="en-GB"/>
        </w:rPr>
        <w:t xml:space="preserve">The government </w:t>
      </w:r>
      <w:r w:rsidR="005C7866" w:rsidRPr="00022DEB">
        <w:rPr>
          <w:rFonts w:cs="Tahoma"/>
          <w:bCs/>
          <w:lang w:val="en-GB"/>
        </w:rPr>
        <w:t>itself continued to</w:t>
      </w:r>
      <w:r w:rsidR="00C244FF" w:rsidRPr="00022DEB">
        <w:rPr>
          <w:rFonts w:cs="Tahoma"/>
          <w:bCs/>
          <w:lang w:val="en-GB"/>
        </w:rPr>
        <w:t xml:space="preserve"> provide </w:t>
      </w:r>
      <w:r w:rsidR="005C7866" w:rsidRPr="00022DEB">
        <w:rPr>
          <w:rFonts w:cs="Tahoma"/>
          <w:bCs/>
          <w:lang w:val="en-GB"/>
        </w:rPr>
        <w:t>humanitarian and medical assistance to</w:t>
      </w:r>
      <w:r w:rsidR="00C244FF" w:rsidRPr="00022DEB">
        <w:rPr>
          <w:rFonts w:cs="Tahoma"/>
          <w:bCs/>
          <w:lang w:val="en-GB"/>
        </w:rPr>
        <w:t xml:space="preserve"> residents </w:t>
      </w:r>
      <w:r w:rsidR="00756B79" w:rsidRPr="00022DEB">
        <w:rPr>
          <w:rFonts w:cs="Tahoma"/>
          <w:bCs/>
          <w:lang w:val="en-GB"/>
        </w:rPr>
        <w:t xml:space="preserve">in </w:t>
      </w:r>
      <w:r w:rsidR="00C244FF" w:rsidRPr="00022DEB">
        <w:rPr>
          <w:rFonts w:cs="Tahoma"/>
          <w:bCs/>
          <w:lang w:val="en-GB"/>
        </w:rPr>
        <w:t>Abkhazia and South Ossetia</w:t>
      </w:r>
      <w:r w:rsidR="005C7866" w:rsidRPr="00022DEB">
        <w:rPr>
          <w:rFonts w:cs="Tahoma"/>
          <w:bCs/>
          <w:lang w:val="en-GB"/>
        </w:rPr>
        <w:t>. The delegation</w:t>
      </w:r>
      <w:r w:rsidR="00C244FF" w:rsidRPr="00022DEB">
        <w:rPr>
          <w:rFonts w:cs="Tahoma"/>
          <w:bCs/>
          <w:lang w:val="en-GB"/>
        </w:rPr>
        <w:t xml:space="preserve"> </w:t>
      </w:r>
      <w:r w:rsidR="005C7866" w:rsidRPr="00022DEB">
        <w:rPr>
          <w:rFonts w:cs="Tahoma"/>
          <w:bCs/>
          <w:lang w:val="en-GB"/>
        </w:rPr>
        <w:t xml:space="preserve">was informed that </w:t>
      </w:r>
      <w:r w:rsidR="00C244FF" w:rsidRPr="00022DEB">
        <w:rPr>
          <w:rFonts w:cs="Tahoma"/>
          <w:bCs/>
          <w:lang w:val="en-GB"/>
        </w:rPr>
        <w:t xml:space="preserve">over 350 persons </w:t>
      </w:r>
      <w:r w:rsidR="006B2E38">
        <w:rPr>
          <w:rFonts w:cs="Tahoma"/>
          <w:bCs/>
          <w:lang w:val="en-GB"/>
        </w:rPr>
        <w:t xml:space="preserve">had </w:t>
      </w:r>
      <w:r w:rsidR="00C244FF" w:rsidRPr="00022DEB">
        <w:rPr>
          <w:rFonts w:cs="Tahoma"/>
          <w:bCs/>
          <w:lang w:val="en-GB"/>
        </w:rPr>
        <w:t xml:space="preserve">received </w:t>
      </w:r>
      <w:r w:rsidR="005C7866" w:rsidRPr="00022DEB">
        <w:rPr>
          <w:rFonts w:cs="Tahoma"/>
          <w:bCs/>
          <w:lang w:val="en-GB"/>
        </w:rPr>
        <w:t>health</w:t>
      </w:r>
      <w:r w:rsidR="006B2E38">
        <w:rPr>
          <w:rFonts w:cs="Tahoma"/>
          <w:bCs/>
          <w:lang w:val="en-GB"/>
        </w:rPr>
        <w:t xml:space="preserve"> </w:t>
      </w:r>
      <w:r w:rsidR="005C7866" w:rsidRPr="00022DEB">
        <w:rPr>
          <w:rFonts w:cs="Tahoma"/>
          <w:bCs/>
          <w:lang w:val="en-GB"/>
        </w:rPr>
        <w:t>care services</w:t>
      </w:r>
      <w:r w:rsidR="00C244FF" w:rsidRPr="00022DEB">
        <w:rPr>
          <w:rFonts w:cs="Tahoma"/>
          <w:bCs/>
          <w:lang w:val="en-GB"/>
        </w:rPr>
        <w:t xml:space="preserve"> </w:t>
      </w:r>
      <w:r w:rsidR="005C7866" w:rsidRPr="00022DEB">
        <w:rPr>
          <w:rFonts w:cs="Tahoma"/>
          <w:bCs/>
          <w:lang w:val="en-GB"/>
        </w:rPr>
        <w:t xml:space="preserve">under Georgia’s State Programme of Referral Assistance </w:t>
      </w:r>
      <w:r w:rsidR="00C244FF" w:rsidRPr="00022DEB">
        <w:rPr>
          <w:rFonts w:cs="Tahoma"/>
          <w:bCs/>
          <w:lang w:val="en-GB"/>
        </w:rPr>
        <w:t xml:space="preserve">during the </w:t>
      </w:r>
      <w:r w:rsidR="001A4C94" w:rsidRPr="00022DEB">
        <w:rPr>
          <w:rFonts w:cs="Tahoma"/>
          <w:bCs/>
          <w:lang w:val="en-GB"/>
        </w:rPr>
        <w:t xml:space="preserve">reporting </w:t>
      </w:r>
      <w:r w:rsidR="00C244FF" w:rsidRPr="00022DEB">
        <w:rPr>
          <w:rFonts w:cs="Tahoma"/>
          <w:bCs/>
          <w:lang w:val="en-GB"/>
        </w:rPr>
        <w:t>period.</w:t>
      </w:r>
      <w:r w:rsidR="00C244FF" w:rsidRPr="00022DEB">
        <w:rPr>
          <w:bCs/>
          <w:lang w:val="en-GB"/>
        </w:rPr>
        <w:t xml:space="preserve"> The Liaison Mechanism established under the </w:t>
      </w:r>
      <w:r w:rsidR="00C244FF" w:rsidRPr="00022DEB">
        <w:rPr>
          <w:rFonts w:cs="Tahoma"/>
          <w:bCs/>
          <w:lang w:val="en-GB"/>
        </w:rPr>
        <w:t>United Nations Development Programme (</w:t>
      </w:r>
      <w:r w:rsidR="00C244FF" w:rsidRPr="00022DEB">
        <w:rPr>
          <w:bCs/>
          <w:lang w:val="en-GB"/>
        </w:rPr>
        <w:t xml:space="preserve">UNDP), has remained functional facilitating </w:t>
      </w:r>
      <w:r w:rsidR="00C244FF" w:rsidRPr="00022DEB">
        <w:rPr>
          <w:bCs/>
          <w:i/>
          <w:lang w:val="en-GB"/>
        </w:rPr>
        <w:t>inter alia</w:t>
      </w:r>
      <w:r w:rsidR="00C244FF" w:rsidRPr="00022DEB">
        <w:rPr>
          <w:bCs/>
          <w:lang w:val="en-GB"/>
        </w:rPr>
        <w:t xml:space="preserve"> the delivery of various types of humanitarian assistance to Abkhazia.</w:t>
      </w:r>
      <w:r w:rsidR="001A4C94" w:rsidRPr="00022DEB">
        <w:rPr>
          <w:bCs/>
          <w:lang w:val="en-GB"/>
        </w:rPr>
        <w:t xml:space="preserve"> </w:t>
      </w:r>
    </w:p>
    <w:p w:rsidR="00C5782F" w:rsidRPr="00022DEB" w:rsidRDefault="00C5782F" w:rsidP="00C5782F">
      <w:pPr>
        <w:jc w:val="both"/>
        <w:rPr>
          <w:rFonts w:cs="Tahoma"/>
          <w:bCs/>
          <w:lang w:val="en-GB"/>
        </w:rPr>
      </w:pPr>
    </w:p>
    <w:p w:rsidR="00F60CE6" w:rsidRPr="00022DEB" w:rsidRDefault="00C244FF" w:rsidP="00A60537">
      <w:pPr>
        <w:numPr>
          <w:ilvl w:val="0"/>
          <w:numId w:val="5"/>
        </w:numPr>
        <w:tabs>
          <w:tab w:val="clear" w:pos="360"/>
        </w:tabs>
        <w:ind w:left="0" w:firstLine="0"/>
        <w:jc w:val="both"/>
        <w:rPr>
          <w:rFonts w:cs="Tahoma"/>
          <w:bCs/>
          <w:lang w:val="en-GB"/>
        </w:rPr>
      </w:pPr>
      <w:r w:rsidRPr="00022DEB">
        <w:rPr>
          <w:rFonts w:cs="Tahoma"/>
          <w:bCs/>
          <w:lang w:val="en-GB"/>
        </w:rPr>
        <w:lastRenderedPageBreak/>
        <w:t>At the same time, n</w:t>
      </w:r>
      <w:r w:rsidR="00F60CE6" w:rsidRPr="00022DEB">
        <w:rPr>
          <w:rFonts w:cs="Tahoma"/>
          <w:bCs/>
          <w:lang w:val="en-GB"/>
        </w:rPr>
        <w:t xml:space="preserve">o </w:t>
      </w:r>
      <w:r w:rsidR="007E3BF4" w:rsidRPr="00022DEB">
        <w:rPr>
          <w:rFonts w:cs="Tahoma"/>
          <w:bCs/>
          <w:lang w:val="en-GB"/>
        </w:rPr>
        <w:t>development</w:t>
      </w:r>
      <w:r w:rsidR="00633EF1" w:rsidRPr="00022DEB">
        <w:rPr>
          <w:rFonts w:cs="Tahoma"/>
          <w:bCs/>
          <w:lang w:val="en-GB"/>
        </w:rPr>
        <w:t>s</w:t>
      </w:r>
      <w:r w:rsidR="00B32FB0" w:rsidRPr="00022DEB">
        <w:rPr>
          <w:rFonts w:cs="Tahoma"/>
          <w:bCs/>
          <w:lang w:val="en-GB"/>
        </w:rPr>
        <w:t xml:space="preserve"> </w:t>
      </w:r>
      <w:r w:rsidR="007E3BF4" w:rsidRPr="00022DEB">
        <w:rPr>
          <w:rFonts w:cs="Tahoma"/>
          <w:bCs/>
          <w:lang w:val="en-GB"/>
        </w:rPr>
        <w:t>ha</w:t>
      </w:r>
      <w:r w:rsidR="00633EF1" w:rsidRPr="00022DEB">
        <w:rPr>
          <w:rFonts w:cs="Tahoma"/>
          <w:bCs/>
          <w:lang w:val="en-GB"/>
        </w:rPr>
        <w:t>ve</w:t>
      </w:r>
      <w:r w:rsidR="007E3BF4" w:rsidRPr="00022DEB">
        <w:rPr>
          <w:rFonts w:cs="Tahoma"/>
          <w:bCs/>
          <w:lang w:val="en-GB"/>
        </w:rPr>
        <w:t xml:space="preserve"> been </w:t>
      </w:r>
      <w:r w:rsidR="00352B1F" w:rsidRPr="00022DEB">
        <w:rPr>
          <w:rFonts w:cs="Tahoma"/>
          <w:bCs/>
          <w:lang w:val="en-GB"/>
        </w:rPr>
        <w:t xml:space="preserve">reported </w:t>
      </w:r>
      <w:r w:rsidR="00F60CE6" w:rsidRPr="00022DEB">
        <w:rPr>
          <w:rFonts w:cs="Tahoma"/>
          <w:bCs/>
          <w:lang w:val="en-GB"/>
        </w:rPr>
        <w:t xml:space="preserve">as regards </w:t>
      </w:r>
      <w:r w:rsidR="00C36E61" w:rsidRPr="00022DEB">
        <w:rPr>
          <w:rFonts w:cs="Tahoma"/>
          <w:bCs/>
          <w:lang w:val="en-GB"/>
        </w:rPr>
        <w:t xml:space="preserve">amendments to </w:t>
      </w:r>
      <w:r w:rsidR="00B32FB0" w:rsidRPr="00022DEB">
        <w:rPr>
          <w:rFonts w:cs="Tahoma"/>
          <w:bCs/>
          <w:lang w:val="en-GB"/>
        </w:rPr>
        <w:t>Georgia’s Law on Occupied Territories</w:t>
      </w:r>
      <w:r w:rsidR="005462B8">
        <w:rPr>
          <w:rFonts w:cs="Tahoma"/>
          <w:bCs/>
          <w:lang w:val="en-GB"/>
        </w:rPr>
        <w:t>,</w:t>
      </w:r>
      <w:r w:rsidR="00B32FB0" w:rsidRPr="00022DEB">
        <w:rPr>
          <w:rFonts w:cs="Tahoma"/>
          <w:bCs/>
          <w:lang w:val="en-GB"/>
        </w:rPr>
        <w:t xml:space="preserve"> in line with the recommenda</w:t>
      </w:r>
      <w:r w:rsidR="00352B1F" w:rsidRPr="00022DEB">
        <w:rPr>
          <w:rFonts w:cs="Tahoma"/>
          <w:bCs/>
          <w:lang w:val="en-GB"/>
        </w:rPr>
        <w:t>tions of the Venice Commission</w:t>
      </w:r>
      <w:r w:rsidR="00146AD1" w:rsidRPr="00022DEB">
        <w:rPr>
          <w:rFonts w:cs="Tahoma"/>
          <w:bCs/>
          <w:lang w:val="en-GB"/>
        </w:rPr>
        <w:t xml:space="preserve"> (VC)</w:t>
      </w:r>
      <w:r w:rsidR="00352B1F" w:rsidRPr="00022DEB">
        <w:rPr>
          <w:rFonts w:cs="Tahoma"/>
          <w:bCs/>
          <w:lang w:val="en-GB"/>
        </w:rPr>
        <w:t xml:space="preserve">. As previously reported, </w:t>
      </w:r>
      <w:r w:rsidR="00B32FB0" w:rsidRPr="00022DEB">
        <w:rPr>
          <w:rFonts w:cs="Tahoma"/>
          <w:bCs/>
          <w:lang w:val="en-GB"/>
        </w:rPr>
        <w:t xml:space="preserve">draft amendments remain pending in the </w:t>
      </w:r>
      <w:r w:rsidR="00BB53BE">
        <w:rPr>
          <w:rFonts w:cs="Tahoma"/>
          <w:bCs/>
          <w:lang w:val="en-GB"/>
        </w:rPr>
        <w:t>P</w:t>
      </w:r>
      <w:r w:rsidR="00B32FB0" w:rsidRPr="00022DEB">
        <w:rPr>
          <w:rFonts w:cs="Tahoma"/>
          <w:bCs/>
          <w:lang w:val="en-GB"/>
        </w:rPr>
        <w:t xml:space="preserve">arliament. Notwithstanding the flexibility </w:t>
      </w:r>
      <w:r w:rsidRPr="00022DEB">
        <w:rPr>
          <w:rFonts w:cs="Tahoma"/>
          <w:bCs/>
          <w:lang w:val="en-GB"/>
        </w:rPr>
        <w:t>in applying the law</w:t>
      </w:r>
      <w:r w:rsidR="00B32FB0" w:rsidRPr="00022DEB">
        <w:rPr>
          <w:rFonts w:cs="Tahoma"/>
          <w:bCs/>
          <w:lang w:val="en-GB"/>
        </w:rPr>
        <w:t xml:space="preserve">, some </w:t>
      </w:r>
      <w:r w:rsidR="007E3BF4" w:rsidRPr="00022DEB">
        <w:rPr>
          <w:rFonts w:cs="Tahoma"/>
          <w:bCs/>
          <w:lang w:val="en-GB"/>
        </w:rPr>
        <w:t xml:space="preserve">international </w:t>
      </w:r>
      <w:r w:rsidR="00B32FB0" w:rsidRPr="00022DEB">
        <w:rPr>
          <w:rFonts w:cs="Tahoma"/>
          <w:bCs/>
          <w:lang w:val="en-GB"/>
        </w:rPr>
        <w:t xml:space="preserve">interlocutors </w:t>
      </w:r>
      <w:r w:rsidR="00352B1F" w:rsidRPr="00022DEB">
        <w:rPr>
          <w:rFonts w:cs="Tahoma"/>
          <w:bCs/>
          <w:lang w:val="en-GB"/>
        </w:rPr>
        <w:t xml:space="preserve">continued to point at </w:t>
      </w:r>
      <w:r w:rsidR="00B32FB0" w:rsidRPr="00022DEB">
        <w:rPr>
          <w:rFonts w:cs="Tahoma"/>
          <w:bCs/>
          <w:lang w:val="en-GB"/>
        </w:rPr>
        <w:t>constrain</w:t>
      </w:r>
      <w:r w:rsidR="00BB53BE">
        <w:rPr>
          <w:rFonts w:cs="Tahoma"/>
          <w:bCs/>
          <w:lang w:val="en-GB"/>
        </w:rPr>
        <w:t>t</w:t>
      </w:r>
      <w:r w:rsidR="00B32FB0" w:rsidRPr="00022DEB">
        <w:rPr>
          <w:rFonts w:cs="Tahoma"/>
          <w:bCs/>
          <w:lang w:val="en-GB"/>
        </w:rPr>
        <w:t xml:space="preserve">s </w:t>
      </w:r>
      <w:r w:rsidR="004F47A2" w:rsidRPr="00022DEB">
        <w:rPr>
          <w:rFonts w:cs="Tahoma"/>
          <w:bCs/>
          <w:lang w:val="en-GB"/>
        </w:rPr>
        <w:t>posed by</w:t>
      </w:r>
      <w:r w:rsidR="00C440CA" w:rsidRPr="00022DEB">
        <w:rPr>
          <w:rFonts w:cs="Tahoma"/>
          <w:bCs/>
          <w:lang w:val="en-GB"/>
        </w:rPr>
        <w:t xml:space="preserve"> certain provisions</w:t>
      </w:r>
      <w:r w:rsidR="004F47A2" w:rsidRPr="00022DEB">
        <w:rPr>
          <w:rFonts w:cs="Tahoma"/>
          <w:bCs/>
          <w:lang w:val="en-GB"/>
        </w:rPr>
        <w:t xml:space="preserve"> in the law</w:t>
      </w:r>
      <w:r w:rsidR="00B32FB0" w:rsidRPr="00022DEB">
        <w:rPr>
          <w:rFonts w:cs="Tahoma"/>
          <w:bCs/>
          <w:lang w:val="en-GB"/>
        </w:rPr>
        <w:t xml:space="preserve">. </w:t>
      </w:r>
    </w:p>
    <w:p w:rsidR="00657EBB" w:rsidRPr="00022DEB" w:rsidRDefault="00657EBB" w:rsidP="00657EBB">
      <w:pPr>
        <w:jc w:val="both"/>
        <w:rPr>
          <w:rFonts w:cs="Tahoma"/>
          <w:bCs/>
          <w:lang w:val="en-GB"/>
        </w:rPr>
      </w:pPr>
    </w:p>
    <w:p w:rsidR="006534B5" w:rsidRPr="00022DEB" w:rsidRDefault="00A60537" w:rsidP="00657EBB">
      <w:pPr>
        <w:numPr>
          <w:ilvl w:val="0"/>
          <w:numId w:val="5"/>
        </w:numPr>
        <w:tabs>
          <w:tab w:val="clear" w:pos="360"/>
        </w:tabs>
        <w:ind w:left="0" w:firstLine="0"/>
        <w:jc w:val="both"/>
        <w:rPr>
          <w:rFonts w:cs="Tahoma"/>
          <w:bCs/>
          <w:lang w:val="en-GB"/>
        </w:rPr>
      </w:pPr>
      <w:r w:rsidRPr="00022DEB">
        <w:rPr>
          <w:rFonts w:cs="Tahoma"/>
          <w:bCs/>
          <w:lang w:val="en-GB"/>
        </w:rPr>
        <w:t>T</w:t>
      </w:r>
      <w:r w:rsidR="00657EBB" w:rsidRPr="00022DEB">
        <w:rPr>
          <w:rFonts w:cs="Tahoma"/>
          <w:bCs/>
          <w:lang w:val="en-GB"/>
        </w:rPr>
        <w:t xml:space="preserve">he </w:t>
      </w:r>
      <w:r w:rsidR="00B22F14" w:rsidRPr="00022DEB">
        <w:rPr>
          <w:rFonts w:cs="Tahoma"/>
          <w:bCs/>
          <w:lang w:val="en-GB"/>
        </w:rPr>
        <w:t>United Nations’ (</w:t>
      </w:r>
      <w:r w:rsidR="00657EBB" w:rsidRPr="00022DEB">
        <w:rPr>
          <w:rFonts w:cs="Tahoma"/>
          <w:bCs/>
          <w:lang w:val="en-GB"/>
        </w:rPr>
        <w:t>UN</w:t>
      </w:r>
      <w:r w:rsidR="00B22F14" w:rsidRPr="00022DEB">
        <w:rPr>
          <w:rFonts w:cs="Tahoma"/>
          <w:bCs/>
          <w:lang w:val="en-GB"/>
        </w:rPr>
        <w:t>)</w:t>
      </w:r>
      <w:r w:rsidR="00657EBB" w:rsidRPr="00022DEB">
        <w:rPr>
          <w:rFonts w:cs="Tahoma"/>
          <w:bCs/>
          <w:lang w:val="en-GB"/>
        </w:rPr>
        <w:t xml:space="preserve"> agencies and funds as well as several development agencies of individual states </w:t>
      </w:r>
      <w:r w:rsidR="00BB53BE">
        <w:rPr>
          <w:rFonts w:cs="Tahoma"/>
          <w:bCs/>
          <w:lang w:val="en-GB"/>
        </w:rPr>
        <w:t>and</w:t>
      </w:r>
      <w:r w:rsidR="00B744B9" w:rsidRPr="00022DEB">
        <w:rPr>
          <w:rFonts w:cs="Tahoma"/>
          <w:bCs/>
          <w:lang w:val="en-GB"/>
        </w:rPr>
        <w:t xml:space="preserve"> </w:t>
      </w:r>
      <w:r w:rsidR="00657EBB" w:rsidRPr="00022DEB">
        <w:rPr>
          <w:rFonts w:cs="Tahoma"/>
          <w:bCs/>
          <w:lang w:val="en-GB"/>
        </w:rPr>
        <w:t>international NGOs</w:t>
      </w:r>
      <w:r w:rsidR="005462B8">
        <w:rPr>
          <w:rFonts w:cs="Tahoma"/>
          <w:bCs/>
          <w:lang w:val="en-GB"/>
        </w:rPr>
        <w:t>,</w:t>
      </w:r>
      <w:r w:rsidR="00657EBB" w:rsidRPr="00022DEB">
        <w:rPr>
          <w:rFonts w:cs="Tahoma"/>
          <w:lang w:val="en-GB"/>
        </w:rPr>
        <w:t xml:space="preserve"> </w:t>
      </w:r>
      <w:r w:rsidR="00B32FB0" w:rsidRPr="00022DEB">
        <w:rPr>
          <w:rFonts w:cs="Tahoma"/>
          <w:bCs/>
          <w:lang w:val="en-GB"/>
        </w:rPr>
        <w:t xml:space="preserve">continued to implement a range of humanitarian </w:t>
      </w:r>
      <w:r w:rsidR="00B22F14" w:rsidRPr="00022DEB">
        <w:rPr>
          <w:rFonts w:cs="Tahoma"/>
          <w:bCs/>
          <w:lang w:val="en-GB"/>
        </w:rPr>
        <w:t xml:space="preserve">assistance </w:t>
      </w:r>
      <w:r w:rsidR="00B32FB0" w:rsidRPr="00022DEB">
        <w:rPr>
          <w:rFonts w:cs="Tahoma"/>
          <w:bCs/>
          <w:lang w:val="en-GB"/>
        </w:rPr>
        <w:t xml:space="preserve">and development </w:t>
      </w:r>
      <w:r w:rsidR="008F10D8" w:rsidRPr="00022DEB">
        <w:rPr>
          <w:rFonts w:cs="Tahoma"/>
          <w:bCs/>
          <w:lang w:val="en-GB"/>
        </w:rPr>
        <w:t>activities</w:t>
      </w:r>
      <w:r w:rsidR="00B32FB0" w:rsidRPr="00022DEB">
        <w:rPr>
          <w:rFonts w:cs="Tahoma"/>
          <w:bCs/>
          <w:lang w:val="en-GB"/>
        </w:rPr>
        <w:t xml:space="preserve"> in </w:t>
      </w:r>
      <w:r w:rsidR="00657EBB" w:rsidRPr="00022DEB">
        <w:rPr>
          <w:rFonts w:cs="Tahoma"/>
          <w:bCs/>
          <w:lang w:val="en-GB"/>
        </w:rPr>
        <w:t xml:space="preserve">Abkhazia. </w:t>
      </w:r>
      <w:r w:rsidR="008F10D8" w:rsidRPr="00022DEB">
        <w:rPr>
          <w:rFonts w:cs="Tahoma"/>
          <w:bCs/>
          <w:lang w:val="en-GB"/>
        </w:rPr>
        <w:t xml:space="preserve">Various UN programmes </w:t>
      </w:r>
      <w:r w:rsidR="00BB53BE">
        <w:rPr>
          <w:rFonts w:cs="Tahoma"/>
          <w:bCs/>
          <w:lang w:val="en-GB"/>
        </w:rPr>
        <w:t>have been</w:t>
      </w:r>
      <w:r w:rsidR="008F10D8" w:rsidRPr="00022DEB">
        <w:rPr>
          <w:rFonts w:cs="Tahoma"/>
          <w:bCs/>
          <w:lang w:val="en-GB"/>
        </w:rPr>
        <w:t xml:space="preserve"> implemented in light of UN Sustainable Development Goals (SDG) and seek to cover all the population. </w:t>
      </w:r>
      <w:r w:rsidR="009E2071" w:rsidRPr="00022DEB">
        <w:rPr>
          <w:rFonts w:cs="Tahoma"/>
          <w:bCs/>
          <w:lang w:val="en-GB"/>
        </w:rPr>
        <w:t xml:space="preserve">The </w:t>
      </w:r>
      <w:r w:rsidR="00B22F14" w:rsidRPr="00022DEB">
        <w:rPr>
          <w:rFonts w:cs="Tahoma"/>
          <w:bCs/>
          <w:lang w:val="en-GB"/>
        </w:rPr>
        <w:t>European Union (</w:t>
      </w:r>
      <w:r w:rsidR="009E2071" w:rsidRPr="00022DEB">
        <w:rPr>
          <w:rFonts w:cs="Tahoma"/>
          <w:bCs/>
          <w:lang w:val="en-GB"/>
        </w:rPr>
        <w:t>EU</w:t>
      </w:r>
      <w:r w:rsidR="00B22F14" w:rsidRPr="00022DEB">
        <w:rPr>
          <w:rFonts w:cs="Tahoma"/>
          <w:bCs/>
          <w:lang w:val="en-GB"/>
        </w:rPr>
        <w:t>)</w:t>
      </w:r>
      <w:r w:rsidR="009E2071" w:rsidRPr="00022DEB">
        <w:rPr>
          <w:rFonts w:cs="Tahoma"/>
          <w:bCs/>
          <w:lang w:val="en-GB"/>
        </w:rPr>
        <w:t xml:space="preserve"> continues to support actions in line with its engagement without </w:t>
      </w:r>
      <w:r w:rsidR="00BB53BE">
        <w:rPr>
          <w:rFonts w:cs="Tahoma"/>
          <w:bCs/>
          <w:lang w:val="en-GB"/>
        </w:rPr>
        <w:t xml:space="preserve">a </w:t>
      </w:r>
      <w:r w:rsidR="009E2071" w:rsidRPr="00022DEB">
        <w:rPr>
          <w:rFonts w:cs="Tahoma"/>
          <w:bCs/>
          <w:lang w:val="en-GB"/>
        </w:rPr>
        <w:t>recognition policy.</w:t>
      </w:r>
      <w:r w:rsidR="004929FC" w:rsidRPr="00022DEB">
        <w:rPr>
          <w:rFonts w:cs="Tahoma"/>
          <w:bCs/>
          <w:lang w:val="en-GB"/>
        </w:rPr>
        <w:t xml:space="preserve"> </w:t>
      </w:r>
      <w:r w:rsidR="006534B5" w:rsidRPr="00022DEB">
        <w:rPr>
          <w:rFonts w:cs="Tahoma"/>
          <w:bCs/>
          <w:lang w:val="en-GB"/>
        </w:rPr>
        <w:t xml:space="preserve">International interlocutors </w:t>
      </w:r>
      <w:r w:rsidR="004929FC" w:rsidRPr="00022DEB">
        <w:rPr>
          <w:rFonts w:cs="Tahoma"/>
          <w:bCs/>
          <w:lang w:val="en-GB"/>
        </w:rPr>
        <w:t>spoke of an improved</w:t>
      </w:r>
      <w:r w:rsidR="006534B5" w:rsidRPr="00022DEB">
        <w:rPr>
          <w:rFonts w:cs="Tahoma"/>
          <w:bCs/>
          <w:lang w:val="en-GB"/>
        </w:rPr>
        <w:t xml:space="preserve"> ability to implement programmes in Abkhazia </w:t>
      </w:r>
      <w:r w:rsidR="004929FC" w:rsidRPr="00022DEB">
        <w:rPr>
          <w:rFonts w:cs="Tahoma"/>
          <w:bCs/>
          <w:lang w:val="en-GB"/>
        </w:rPr>
        <w:t>but noted that</w:t>
      </w:r>
      <w:r w:rsidR="006534B5" w:rsidRPr="00022DEB">
        <w:rPr>
          <w:rFonts w:cs="Tahoma"/>
          <w:bCs/>
          <w:lang w:val="en-GB"/>
        </w:rPr>
        <w:t xml:space="preserve"> operational challenges </w:t>
      </w:r>
      <w:r w:rsidR="00C244FF" w:rsidRPr="00022DEB">
        <w:rPr>
          <w:rFonts w:cs="Tahoma"/>
          <w:bCs/>
          <w:lang w:val="en-GB"/>
        </w:rPr>
        <w:t xml:space="preserve">remain </w:t>
      </w:r>
      <w:r w:rsidR="008F10D8" w:rsidRPr="00022DEB">
        <w:rPr>
          <w:rFonts w:cs="Tahoma"/>
          <w:bCs/>
          <w:lang w:val="en-GB"/>
        </w:rPr>
        <w:t>in view of expanded security controls</w:t>
      </w:r>
      <w:r w:rsidR="00C5782F" w:rsidRPr="00022DEB">
        <w:rPr>
          <w:rFonts w:cs="Tahoma"/>
          <w:bCs/>
          <w:lang w:val="en-GB"/>
        </w:rPr>
        <w:t xml:space="preserve">. </w:t>
      </w:r>
    </w:p>
    <w:p w:rsidR="00657EBB" w:rsidRPr="00022DEB" w:rsidRDefault="00657EBB" w:rsidP="00657EBB">
      <w:pPr>
        <w:jc w:val="both"/>
        <w:rPr>
          <w:rFonts w:cs="Tahoma"/>
          <w:bCs/>
          <w:lang w:val="en-GB"/>
        </w:rPr>
      </w:pPr>
    </w:p>
    <w:p w:rsidR="00657EBB" w:rsidRPr="00022DEB" w:rsidRDefault="00657EBB" w:rsidP="00657EBB">
      <w:pPr>
        <w:numPr>
          <w:ilvl w:val="0"/>
          <w:numId w:val="5"/>
        </w:numPr>
        <w:tabs>
          <w:tab w:val="clear" w:pos="360"/>
        </w:tabs>
        <w:ind w:left="0" w:firstLine="0"/>
        <w:jc w:val="both"/>
        <w:rPr>
          <w:rFonts w:cs="Tahoma"/>
          <w:bCs/>
          <w:lang w:val="en-GB"/>
        </w:rPr>
      </w:pPr>
      <w:r w:rsidRPr="00022DEB">
        <w:rPr>
          <w:rFonts w:cs="Tahoma"/>
          <w:bCs/>
          <w:lang w:val="en-GB"/>
        </w:rPr>
        <w:t xml:space="preserve">As regards access to South Ossetia, no progress </w:t>
      </w:r>
      <w:r w:rsidR="00A87B52" w:rsidRPr="00022DEB">
        <w:rPr>
          <w:rFonts w:cs="Tahoma"/>
          <w:bCs/>
          <w:lang w:val="en-GB"/>
        </w:rPr>
        <w:t>has been</w:t>
      </w:r>
      <w:r w:rsidRPr="00022DEB">
        <w:rPr>
          <w:rFonts w:cs="Tahoma"/>
          <w:bCs/>
          <w:lang w:val="en-GB"/>
        </w:rPr>
        <w:t xml:space="preserve"> observed </w:t>
      </w:r>
      <w:r w:rsidR="007C7D8D" w:rsidRPr="00022DEB">
        <w:rPr>
          <w:rFonts w:cs="Tahoma"/>
          <w:bCs/>
          <w:lang w:val="en-GB"/>
        </w:rPr>
        <w:t xml:space="preserve">in terms of access </w:t>
      </w:r>
      <w:r w:rsidRPr="00022DEB">
        <w:rPr>
          <w:rFonts w:cs="Tahoma"/>
          <w:bCs/>
          <w:lang w:val="en-GB"/>
        </w:rPr>
        <w:t xml:space="preserve">since the last report. </w:t>
      </w:r>
      <w:r w:rsidR="00BB53BE">
        <w:rPr>
          <w:rFonts w:cs="Tahoma"/>
          <w:bCs/>
          <w:lang w:val="en-GB"/>
        </w:rPr>
        <w:t>Consequently</w:t>
      </w:r>
      <w:r w:rsidRPr="00022DEB">
        <w:rPr>
          <w:rFonts w:cs="Tahoma"/>
          <w:bCs/>
          <w:lang w:val="en-GB"/>
        </w:rPr>
        <w:t xml:space="preserve">, international engagement remains </w:t>
      </w:r>
      <w:r w:rsidR="005462B8">
        <w:rPr>
          <w:rFonts w:cs="Tahoma"/>
          <w:bCs/>
          <w:lang w:val="en-GB"/>
        </w:rPr>
        <w:t xml:space="preserve">very </w:t>
      </w:r>
      <w:r w:rsidRPr="00022DEB">
        <w:rPr>
          <w:rFonts w:cs="Tahoma"/>
          <w:bCs/>
          <w:lang w:val="en-GB"/>
        </w:rPr>
        <w:t>limited in terms of</w:t>
      </w:r>
      <w:r w:rsidR="002915EB">
        <w:rPr>
          <w:rFonts w:cs="Tahoma"/>
          <w:bCs/>
          <w:lang w:val="en-GB"/>
        </w:rPr>
        <w:t xml:space="preserve"> both</w:t>
      </w:r>
      <w:r w:rsidR="00DD2E43" w:rsidRPr="00022DEB">
        <w:rPr>
          <w:rFonts w:cs="Tahoma"/>
          <w:bCs/>
          <w:lang w:val="en-GB"/>
        </w:rPr>
        <w:t xml:space="preserve"> actors and </w:t>
      </w:r>
      <w:r w:rsidR="00BB53BE">
        <w:rPr>
          <w:rFonts w:cs="Tahoma"/>
          <w:bCs/>
          <w:lang w:val="en-GB"/>
        </w:rPr>
        <w:t xml:space="preserve">the </w:t>
      </w:r>
      <w:r w:rsidR="00DD2E43" w:rsidRPr="00022DEB">
        <w:rPr>
          <w:rFonts w:cs="Tahoma"/>
          <w:bCs/>
          <w:lang w:val="en-GB"/>
        </w:rPr>
        <w:t>scale of activities</w:t>
      </w:r>
      <w:r w:rsidRPr="00022DEB">
        <w:rPr>
          <w:rFonts w:cs="Tahoma"/>
          <w:bCs/>
          <w:lang w:val="en-GB"/>
        </w:rPr>
        <w:t xml:space="preserve">. </w:t>
      </w:r>
      <w:r w:rsidR="00C5782F" w:rsidRPr="00022DEB">
        <w:rPr>
          <w:rFonts w:cs="Tahoma"/>
          <w:bCs/>
          <w:lang w:val="en-GB"/>
        </w:rPr>
        <w:t xml:space="preserve">During the </w:t>
      </w:r>
      <w:r w:rsidR="0078734D" w:rsidRPr="00022DEB">
        <w:rPr>
          <w:rFonts w:cs="Tahoma"/>
          <w:bCs/>
          <w:lang w:val="en-GB"/>
        </w:rPr>
        <w:t>reporting period</w:t>
      </w:r>
      <w:r w:rsidR="00C5782F" w:rsidRPr="00022DEB">
        <w:rPr>
          <w:rFonts w:cs="Tahoma"/>
          <w:bCs/>
          <w:lang w:val="en-GB"/>
        </w:rPr>
        <w:t xml:space="preserve">, the ICRC continued to </w:t>
      </w:r>
      <w:r w:rsidR="0078734D" w:rsidRPr="00022DEB">
        <w:rPr>
          <w:rFonts w:cs="Tahoma"/>
          <w:bCs/>
          <w:lang w:val="en-GB"/>
        </w:rPr>
        <w:t xml:space="preserve">implement small-scale humanitarian actions. </w:t>
      </w:r>
      <w:r w:rsidR="00C5782F" w:rsidRPr="00022DEB">
        <w:rPr>
          <w:rFonts w:cs="Tahoma"/>
          <w:bCs/>
          <w:lang w:val="en-GB"/>
        </w:rPr>
        <w:t xml:space="preserve"> </w:t>
      </w:r>
    </w:p>
    <w:p w:rsidR="00DD2E43" w:rsidRPr="00022DEB" w:rsidRDefault="00DD2E43" w:rsidP="00642E56">
      <w:pPr>
        <w:jc w:val="both"/>
        <w:rPr>
          <w:rFonts w:cs="Tahoma"/>
          <w:i/>
          <w:lang w:val="en-GB"/>
        </w:rPr>
      </w:pPr>
    </w:p>
    <w:p w:rsidR="00E64288" w:rsidRPr="00022DEB" w:rsidRDefault="00E64288" w:rsidP="00E64288">
      <w:pPr>
        <w:tabs>
          <w:tab w:val="left" w:pos="993"/>
        </w:tabs>
        <w:jc w:val="both"/>
        <w:rPr>
          <w:rFonts w:cs="Tahoma"/>
          <w:i/>
          <w:lang w:val="en-GB"/>
        </w:rPr>
      </w:pPr>
      <w:r w:rsidRPr="00022DEB">
        <w:rPr>
          <w:rFonts w:cs="Tahoma"/>
          <w:i/>
          <w:lang w:val="en-GB"/>
        </w:rPr>
        <w:t>III</w:t>
      </w:r>
      <w:r w:rsidRPr="00022DEB">
        <w:rPr>
          <w:rFonts w:cs="Tahoma"/>
          <w:i/>
          <w:lang w:val="en-GB"/>
        </w:rPr>
        <w:tab/>
        <w:t>Human rights situation in the areas affected by the conflict</w:t>
      </w:r>
    </w:p>
    <w:p w:rsidR="00F209FB" w:rsidRPr="00022DEB" w:rsidRDefault="00F209FB" w:rsidP="00E64288">
      <w:pPr>
        <w:tabs>
          <w:tab w:val="left" w:pos="993"/>
        </w:tabs>
        <w:jc w:val="both"/>
        <w:rPr>
          <w:rFonts w:cs="Tahoma"/>
          <w:i/>
          <w:lang w:val="en-GB"/>
        </w:rPr>
      </w:pPr>
    </w:p>
    <w:p w:rsidR="0053636D" w:rsidRPr="00022DEB" w:rsidRDefault="00594C31" w:rsidP="002A33FE">
      <w:pPr>
        <w:pStyle w:val="ListParagraph"/>
        <w:numPr>
          <w:ilvl w:val="0"/>
          <w:numId w:val="5"/>
        </w:numPr>
        <w:tabs>
          <w:tab w:val="clear" w:pos="360"/>
          <w:tab w:val="num" w:pos="0"/>
          <w:tab w:val="num" w:pos="709"/>
        </w:tabs>
        <w:ind w:left="0" w:firstLine="0"/>
        <w:contextualSpacing/>
        <w:jc w:val="both"/>
        <w:rPr>
          <w:rFonts w:cs="Tahoma"/>
          <w:lang w:val="en-GB"/>
        </w:rPr>
      </w:pPr>
      <w:r w:rsidRPr="00022DEB">
        <w:rPr>
          <w:rFonts w:cs="Tahoma"/>
          <w:lang w:val="en-GB"/>
        </w:rPr>
        <w:t xml:space="preserve">As indicated above, the Secretariat continued to face lack of access to Abkhazia and South Ossetia and consequently had no opportunity to assess the human rights situation on the ground. </w:t>
      </w:r>
      <w:r w:rsidR="00F209FB" w:rsidRPr="00022DEB">
        <w:rPr>
          <w:rFonts w:cs="Tahoma"/>
          <w:lang w:val="en-GB"/>
        </w:rPr>
        <w:t xml:space="preserve">The information presented in chapters </w:t>
      </w:r>
      <w:r w:rsidR="00F209FB" w:rsidRPr="00022DEB">
        <w:rPr>
          <w:rFonts w:cs="Tahoma"/>
          <w:i/>
          <w:lang w:val="en-GB"/>
        </w:rPr>
        <w:t>III.1 to III.2</w:t>
      </w:r>
      <w:r w:rsidR="00F209FB" w:rsidRPr="00022DEB">
        <w:rPr>
          <w:rFonts w:cs="Tahoma"/>
          <w:lang w:val="en-GB"/>
        </w:rPr>
        <w:t xml:space="preserve"> is based on discussion</w:t>
      </w:r>
      <w:r w:rsidR="0025228A" w:rsidRPr="00022DEB">
        <w:rPr>
          <w:rFonts w:cs="Tahoma"/>
          <w:lang w:val="en-GB"/>
        </w:rPr>
        <w:t>s with the Georgian authorities,</w:t>
      </w:r>
      <w:r w:rsidR="00F209FB" w:rsidRPr="00022DEB">
        <w:rPr>
          <w:rFonts w:cs="Tahoma"/>
          <w:lang w:val="en-GB"/>
        </w:rPr>
        <w:t xml:space="preserve"> </w:t>
      </w:r>
      <w:r w:rsidR="0025228A" w:rsidRPr="00022DEB">
        <w:rPr>
          <w:rFonts w:cs="Tahoma"/>
          <w:lang w:val="en-GB"/>
        </w:rPr>
        <w:t>representative</w:t>
      </w:r>
      <w:r w:rsidR="00FB26F8" w:rsidRPr="00022DEB">
        <w:rPr>
          <w:rFonts w:cs="Tahoma"/>
          <w:lang w:val="en-GB"/>
        </w:rPr>
        <w:t>s</w:t>
      </w:r>
      <w:r w:rsidR="0025228A" w:rsidRPr="00022DEB">
        <w:rPr>
          <w:rFonts w:cs="Tahoma"/>
          <w:lang w:val="en-GB"/>
        </w:rPr>
        <w:t xml:space="preserve"> of </w:t>
      </w:r>
      <w:r w:rsidR="00FB26F8" w:rsidRPr="00022DEB">
        <w:rPr>
          <w:rFonts w:cs="Tahoma"/>
          <w:lang w:val="en-GB"/>
        </w:rPr>
        <w:t xml:space="preserve">the </w:t>
      </w:r>
      <w:r w:rsidR="0025228A" w:rsidRPr="00022DEB">
        <w:rPr>
          <w:rFonts w:cs="Tahoma"/>
          <w:lang w:val="en-GB"/>
        </w:rPr>
        <w:t>international community</w:t>
      </w:r>
      <w:r w:rsidR="00732062" w:rsidRPr="00022DEB">
        <w:rPr>
          <w:rFonts w:cs="Tahoma"/>
          <w:lang w:val="en-GB"/>
        </w:rPr>
        <w:t>,</w:t>
      </w:r>
      <w:r w:rsidR="007C7D8D" w:rsidRPr="00022DEB">
        <w:rPr>
          <w:rFonts w:cs="Tahoma"/>
          <w:lang w:val="en-GB"/>
        </w:rPr>
        <w:t xml:space="preserve"> </w:t>
      </w:r>
      <w:r w:rsidR="00846221" w:rsidRPr="00022DEB">
        <w:rPr>
          <w:rFonts w:cs="Tahoma"/>
          <w:lang w:val="en-GB"/>
        </w:rPr>
        <w:t xml:space="preserve">as well </w:t>
      </w:r>
      <w:r w:rsidR="00F209FB" w:rsidRPr="00022DEB">
        <w:rPr>
          <w:rFonts w:cs="Tahoma"/>
          <w:lang w:val="en-GB"/>
        </w:rPr>
        <w:t xml:space="preserve">as </w:t>
      </w:r>
      <w:r w:rsidR="00846221" w:rsidRPr="00022DEB">
        <w:rPr>
          <w:rFonts w:cs="Tahoma"/>
          <w:lang w:val="en-GB"/>
        </w:rPr>
        <w:t xml:space="preserve">on </w:t>
      </w:r>
      <w:r w:rsidR="00F209FB" w:rsidRPr="00022DEB">
        <w:rPr>
          <w:rFonts w:cs="Tahoma"/>
          <w:lang w:val="en-GB"/>
        </w:rPr>
        <w:t xml:space="preserve">open sources. </w:t>
      </w:r>
      <w:r w:rsidRPr="00022DEB">
        <w:rPr>
          <w:rFonts w:cs="Tahoma"/>
          <w:lang w:val="en-GB"/>
        </w:rPr>
        <w:t xml:space="preserve"> </w:t>
      </w:r>
    </w:p>
    <w:p w:rsidR="003A7C8B" w:rsidRPr="00022DEB" w:rsidRDefault="003A7C8B" w:rsidP="004D59EA">
      <w:pPr>
        <w:rPr>
          <w:rFonts w:cs="Tahoma"/>
          <w:lang w:val="en-GB"/>
        </w:rPr>
      </w:pPr>
    </w:p>
    <w:p w:rsidR="00B10C13" w:rsidRPr="00022DEB" w:rsidRDefault="00E42666" w:rsidP="002A33FE">
      <w:pPr>
        <w:pStyle w:val="ListParagraph"/>
        <w:numPr>
          <w:ilvl w:val="0"/>
          <w:numId w:val="5"/>
        </w:numPr>
        <w:tabs>
          <w:tab w:val="clear" w:pos="360"/>
          <w:tab w:val="num" w:pos="0"/>
          <w:tab w:val="num" w:pos="709"/>
        </w:tabs>
        <w:ind w:left="0" w:firstLine="0"/>
        <w:contextualSpacing/>
        <w:jc w:val="both"/>
        <w:rPr>
          <w:rFonts w:cs="Tahoma"/>
          <w:lang w:val="en-GB"/>
        </w:rPr>
      </w:pPr>
      <w:r w:rsidRPr="00022DEB">
        <w:rPr>
          <w:rFonts w:cs="Tahoma"/>
          <w:lang w:val="en-GB"/>
        </w:rPr>
        <w:t>As stated earlier</w:t>
      </w:r>
      <w:r w:rsidR="00BB53BE">
        <w:rPr>
          <w:rFonts w:cs="Tahoma"/>
          <w:lang w:val="en-GB"/>
        </w:rPr>
        <w:t>,</w:t>
      </w:r>
      <w:r w:rsidRPr="00022DEB">
        <w:rPr>
          <w:rFonts w:cs="Tahoma"/>
          <w:lang w:val="en-GB"/>
        </w:rPr>
        <w:t xml:space="preserve"> the majority of the delegation’s interlocutors noted a deterioration of the human rights environment in conflict-affected areas mainly as a result of growing limitations on the freedom of movement. </w:t>
      </w:r>
      <w:r w:rsidR="00123089" w:rsidRPr="00022DEB">
        <w:rPr>
          <w:rFonts w:cs="Tahoma"/>
          <w:lang w:val="en-GB"/>
        </w:rPr>
        <w:t xml:space="preserve">This affects in multiple ways the </w:t>
      </w:r>
      <w:proofErr w:type="gramStart"/>
      <w:r w:rsidR="005462B8">
        <w:rPr>
          <w:rFonts w:cs="Tahoma"/>
          <w:lang w:val="en-GB"/>
        </w:rPr>
        <w:t xml:space="preserve">fundamental </w:t>
      </w:r>
      <w:r w:rsidR="00123089" w:rsidRPr="00022DEB">
        <w:rPr>
          <w:rFonts w:cs="Tahoma"/>
          <w:lang w:val="en-GB"/>
        </w:rPr>
        <w:t xml:space="preserve"> rights</w:t>
      </w:r>
      <w:proofErr w:type="gramEnd"/>
      <w:r w:rsidR="00123089" w:rsidRPr="00022DEB">
        <w:rPr>
          <w:rFonts w:cs="Tahoma"/>
          <w:lang w:val="en-GB"/>
        </w:rPr>
        <w:t xml:space="preserve"> of the local population</w:t>
      </w:r>
      <w:r w:rsidR="00BB53BE">
        <w:rPr>
          <w:rFonts w:cs="Tahoma"/>
          <w:lang w:val="en-GB"/>
        </w:rPr>
        <w:t>,</w:t>
      </w:r>
      <w:r w:rsidR="00123089" w:rsidRPr="00022DEB">
        <w:rPr>
          <w:rFonts w:cs="Tahoma"/>
          <w:lang w:val="en-GB"/>
        </w:rPr>
        <w:t xml:space="preserve"> including but not limited to</w:t>
      </w:r>
      <w:r w:rsidR="00B10C13" w:rsidRPr="00022DEB">
        <w:rPr>
          <w:rFonts w:cs="Tahoma"/>
          <w:lang w:val="en-GB"/>
        </w:rPr>
        <w:t xml:space="preserve"> </w:t>
      </w:r>
      <w:r w:rsidR="007959B2" w:rsidRPr="00022DEB">
        <w:rPr>
          <w:rFonts w:cs="Tahoma"/>
          <w:lang w:val="en-GB"/>
        </w:rPr>
        <w:t xml:space="preserve">right to liberty and security, </w:t>
      </w:r>
      <w:r w:rsidR="00B10C13" w:rsidRPr="00022DEB">
        <w:rPr>
          <w:rFonts w:cs="Tahoma"/>
          <w:lang w:val="en-GB"/>
        </w:rPr>
        <w:t>social and economic rights, the right to property and family life as well as the right to education in native language.</w:t>
      </w:r>
    </w:p>
    <w:p w:rsidR="00B10C13" w:rsidRPr="00022DEB" w:rsidRDefault="00B10C13" w:rsidP="00B10C13">
      <w:pPr>
        <w:pStyle w:val="ListParagraph"/>
        <w:rPr>
          <w:rFonts w:cs="Tahoma"/>
          <w:lang w:val="en-GB"/>
        </w:rPr>
      </w:pPr>
    </w:p>
    <w:p w:rsidR="00A57406" w:rsidRPr="00022DEB" w:rsidRDefault="00B10C13" w:rsidP="002A33FE">
      <w:pPr>
        <w:pStyle w:val="ListParagraph"/>
        <w:numPr>
          <w:ilvl w:val="0"/>
          <w:numId w:val="5"/>
        </w:numPr>
        <w:tabs>
          <w:tab w:val="clear" w:pos="360"/>
          <w:tab w:val="num" w:pos="0"/>
          <w:tab w:val="num" w:pos="709"/>
        </w:tabs>
        <w:ind w:left="0" w:firstLine="0"/>
        <w:contextualSpacing/>
        <w:jc w:val="both"/>
        <w:rPr>
          <w:rFonts w:cs="Tahoma"/>
          <w:lang w:val="en-GB"/>
        </w:rPr>
      </w:pPr>
      <w:r w:rsidRPr="00022DEB">
        <w:rPr>
          <w:rFonts w:cs="Tahoma"/>
          <w:lang w:val="en-GB"/>
        </w:rPr>
        <w:t xml:space="preserve"> </w:t>
      </w:r>
      <w:r w:rsidR="00A57406" w:rsidRPr="00022DEB">
        <w:rPr>
          <w:rFonts w:cs="Tahoma"/>
          <w:lang w:val="en-GB"/>
        </w:rPr>
        <w:t>Regrettably</w:t>
      </w:r>
      <w:r w:rsidR="00A643EE" w:rsidRPr="00022DEB">
        <w:rPr>
          <w:rFonts w:cs="Tahoma"/>
          <w:lang w:val="en-GB"/>
        </w:rPr>
        <w:t>,</w:t>
      </w:r>
      <w:r w:rsidR="00A57406" w:rsidRPr="00022DEB">
        <w:rPr>
          <w:rFonts w:cs="Tahoma"/>
          <w:lang w:val="en-GB"/>
        </w:rPr>
        <w:t xml:space="preserve"> no progress </w:t>
      </w:r>
      <w:r w:rsidR="00732062" w:rsidRPr="00022DEB">
        <w:rPr>
          <w:rFonts w:cs="Tahoma"/>
          <w:lang w:val="en-GB"/>
        </w:rPr>
        <w:t xml:space="preserve">has been </w:t>
      </w:r>
      <w:r w:rsidR="00A57406" w:rsidRPr="00022DEB">
        <w:rPr>
          <w:rFonts w:cs="Tahoma"/>
          <w:lang w:val="en-GB"/>
        </w:rPr>
        <w:t xml:space="preserve">made in </w:t>
      </w:r>
      <w:r w:rsidR="00A643EE" w:rsidRPr="00022DEB">
        <w:rPr>
          <w:rFonts w:cs="Tahoma"/>
          <w:lang w:val="en-GB"/>
        </w:rPr>
        <w:t xml:space="preserve">terms </w:t>
      </w:r>
      <w:r w:rsidR="00A57406" w:rsidRPr="00022DEB">
        <w:rPr>
          <w:rFonts w:cs="Tahoma"/>
          <w:lang w:val="en-GB"/>
        </w:rPr>
        <w:t xml:space="preserve">of access of international human rights monitoring mechanisms, including those of the Council of Europe, to Sukhumi and Tskhinvali. </w:t>
      </w:r>
    </w:p>
    <w:p w:rsidR="00676989" w:rsidRPr="00022DEB" w:rsidRDefault="00676989" w:rsidP="00C363BA">
      <w:pPr>
        <w:jc w:val="both"/>
        <w:rPr>
          <w:rFonts w:cs="Tahoma"/>
          <w:i/>
          <w:lang w:val="en-GB"/>
        </w:rPr>
      </w:pPr>
    </w:p>
    <w:p w:rsidR="00E64288" w:rsidRPr="00022DEB" w:rsidRDefault="00E64288" w:rsidP="00E64288">
      <w:pPr>
        <w:tabs>
          <w:tab w:val="left" w:pos="993"/>
        </w:tabs>
        <w:jc w:val="both"/>
        <w:rPr>
          <w:rFonts w:cs="Tahoma"/>
          <w:i/>
          <w:lang w:val="en-GB"/>
        </w:rPr>
      </w:pPr>
      <w:r w:rsidRPr="00022DEB">
        <w:rPr>
          <w:rFonts w:cs="Tahoma"/>
          <w:i/>
          <w:lang w:val="en-GB"/>
        </w:rPr>
        <w:t>III.1</w:t>
      </w:r>
      <w:r w:rsidRPr="00022DEB">
        <w:rPr>
          <w:rFonts w:cs="Tahoma"/>
          <w:i/>
          <w:lang w:val="en-GB"/>
        </w:rPr>
        <w:tab/>
        <w:t>Reports on Abkhazia</w:t>
      </w:r>
    </w:p>
    <w:p w:rsidR="00E64288" w:rsidRPr="00022DEB" w:rsidRDefault="00E64288" w:rsidP="00E64288">
      <w:pPr>
        <w:jc w:val="both"/>
        <w:rPr>
          <w:rFonts w:cs="Tahoma"/>
          <w:lang w:val="en-GB"/>
        </w:rPr>
      </w:pPr>
    </w:p>
    <w:p w:rsidR="00E64288" w:rsidRPr="00022DEB" w:rsidRDefault="00E64288" w:rsidP="00E64288">
      <w:pPr>
        <w:tabs>
          <w:tab w:val="left" w:pos="993"/>
        </w:tabs>
        <w:jc w:val="both"/>
        <w:rPr>
          <w:rFonts w:cs="Tahoma"/>
          <w:i/>
          <w:lang w:val="en-GB"/>
        </w:rPr>
      </w:pPr>
      <w:r w:rsidRPr="00022DEB">
        <w:rPr>
          <w:rFonts w:cs="Tahoma"/>
          <w:i/>
          <w:lang w:val="en-GB"/>
        </w:rPr>
        <w:t>III.1.i</w:t>
      </w:r>
      <w:r w:rsidRPr="00022DEB">
        <w:rPr>
          <w:rFonts w:cs="Tahoma"/>
          <w:i/>
          <w:lang w:val="en-GB"/>
        </w:rPr>
        <w:tab/>
        <w:t xml:space="preserve">Security </w:t>
      </w:r>
    </w:p>
    <w:p w:rsidR="009D67D6" w:rsidRPr="00022DEB" w:rsidRDefault="009D67D6" w:rsidP="009D67D6">
      <w:pPr>
        <w:jc w:val="both"/>
        <w:rPr>
          <w:rFonts w:cs="Tahoma"/>
          <w:i/>
          <w:lang w:val="en-GB"/>
        </w:rPr>
      </w:pPr>
    </w:p>
    <w:p w:rsidR="00B10C13" w:rsidRPr="00022DEB" w:rsidRDefault="00A643EE" w:rsidP="00424B1A">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According to the assessments by the GID participants, </w:t>
      </w:r>
      <w:r w:rsidR="00AA6A09" w:rsidRPr="00022DEB">
        <w:rPr>
          <w:rFonts w:cs="Tahoma"/>
          <w:bCs/>
          <w:lang w:val="en-GB"/>
        </w:rPr>
        <w:t xml:space="preserve">the security situation </w:t>
      </w:r>
      <w:r w:rsidR="004336CF" w:rsidRPr="00022DEB">
        <w:rPr>
          <w:rFonts w:cs="Tahoma"/>
          <w:bCs/>
          <w:lang w:val="en-GB"/>
        </w:rPr>
        <w:t xml:space="preserve">on the ground </w:t>
      </w:r>
      <w:r w:rsidRPr="00022DEB">
        <w:rPr>
          <w:rFonts w:cs="Tahoma"/>
          <w:bCs/>
          <w:lang w:val="en-GB"/>
        </w:rPr>
        <w:t xml:space="preserve">has </w:t>
      </w:r>
      <w:r w:rsidR="00AA6A09" w:rsidRPr="00022DEB">
        <w:rPr>
          <w:rFonts w:cs="Tahoma"/>
          <w:bCs/>
          <w:lang w:val="en-GB"/>
        </w:rPr>
        <w:t xml:space="preserve">remained </w:t>
      </w:r>
      <w:r w:rsidR="007B5140" w:rsidRPr="00022DEB">
        <w:rPr>
          <w:rFonts w:cs="Tahoma"/>
          <w:bCs/>
          <w:lang w:val="en-GB"/>
        </w:rPr>
        <w:t xml:space="preserve">relatively </w:t>
      </w:r>
      <w:r w:rsidR="00AA6A09" w:rsidRPr="00022DEB">
        <w:rPr>
          <w:rFonts w:cs="Tahoma"/>
          <w:bCs/>
          <w:lang w:val="en-GB"/>
        </w:rPr>
        <w:t xml:space="preserve">stable. </w:t>
      </w:r>
      <w:r w:rsidR="00F02B82" w:rsidRPr="00022DEB">
        <w:rPr>
          <w:rFonts w:cs="Tahoma"/>
          <w:bCs/>
          <w:lang w:val="en-GB"/>
        </w:rPr>
        <w:t>However, t</w:t>
      </w:r>
      <w:r w:rsidR="00AA6A09" w:rsidRPr="00022DEB">
        <w:rPr>
          <w:rFonts w:cs="Tahoma"/>
          <w:bCs/>
          <w:lang w:val="en-GB"/>
        </w:rPr>
        <w:t xml:space="preserve">he </w:t>
      </w:r>
      <w:r w:rsidR="000C48D7" w:rsidRPr="00022DEB">
        <w:rPr>
          <w:rFonts w:cs="Tahoma"/>
          <w:bCs/>
          <w:lang w:val="en-GB"/>
        </w:rPr>
        <w:t>Inciden</w:t>
      </w:r>
      <w:r w:rsidR="009E2071" w:rsidRPr="00022DEB">
        <w:rPr>
          <w:rFonts w:cs="Tahoma"/>
          <w:bCs/>
          <w:lang w:val="en-GB"/>
        </w:rPr>
        <w:t>t</w:t>
      </w:r>
      <w:r w:rsidR="000C48D7" w:rsidRPr="00022DEB">
        <w:rPr>
          <w:rFonts w:cs="Tahoma"/>
          <w:bCs/>
          <w:lang w:val="en-GB"/>
        </w:rPr>
        <w:t xml:space="preserve"> Prevention and Response Mechanism (</w:t>
      </w:r>
      <w:r w:rsidR="00AA6A09" w:rsidRPr="00022DEB">
        <w:rPr>
          <w:rFonts w:cs="Tahoma"/>
          <w:bCs/>
          <w:lang w:val="en-GB"/>
        </w:rPr>
        <w:t>IPRM</w:t>
      </w:r>
      <w:r w:rsidR="000C48D7" w:rsidRPr="00022DEB">
        <w:rPr>
          <w:rFonts w:cs="Tahoma"/>
          <w:bCs/>
          <w:lang w:val="en-GB"/>
        </w:rPr>
        <w:t>)</w:t>
      </w:r>
      <w:r w:rsidR="00AA6A09" w:rsidRPr="00022DEB">
        <w:rPr>
          <w:rFonts w:cs="Tahoma"/>
          <w:bCs/>
          <w:lang w:val="en-GB"/>
        </w:rPr>
        <w:t xml:space="preserve"> in </w:t>
      </w:r>
      <w:proofErr w:type="spellStart"/>
      <w:r w:rsidR="00AA6A09" w:rsidRPr="00022DEB">
        <w:rPr>
          <w:rFonts w:cs="Tahoma"/>
          <w:bCs/>
          <w:lang w:val="en-GB"/>
        </w:rPr>
        <w:t>Gali</w:t>
      </w:r>
      <w:proofErr w:type="spellEnd"/>
      <w:r w:rsidR="00A85B90" w:rsidRPr="00022DEB">
        <w:rPr>
          <w:rFonts w:cs="Tahoma"/>
          <w:bCs/>
          <w:lang w:val="en-GB"/>
        </w:rPr>
        <w:t xml:space="preserve"> </w:t>
      </w:r>
      <w:r w:rsidR="00DD2E43" w:rsidRPr="00022DEB">
        <w:rPr>
          <w:rFonts w:cs="Tahoma"/>
          <w:bCs/>
          <w:lang w:val="en-GB"/>
        </w:rPr>
        <w:t>remains</w:t>
      </w:r>
      <w:r w:rsidR="00384E39" w:rsidRPr="00022DEB">
        <w:rPr>
          <w:rFonts w:cs="Tahoma"/>
          <w:bCs/>
          <w:lang w:val="en-GB"/>
        </w:rPr>
        <w:t xml:space="preserve"> suspended, depriving </w:t>
      </w:r>
      <w:r w:rsidR="00DD2E43" w:rsidRPr="00022DEB">
        <w:rPr>
          <w:rFonts w:cs="Tahoma"/>
          <w:bCs/>
          <w:lang w:val="en-GB"/>
        </w:rPr>
        <w:t>participants</w:t>
      </w:r>
      <w:r w:rsidR="00384E39" w:rsidRPr="00022DEB">
        <w:rPr>
          <w:rFonts w:cs="Tahoma"/>
          <w:bCs/>
          <w:lang w:val="en-GB"/>
        </w:rPr>
        <w:t xml:space="preserve"> of the only </w:t>
      </w:r>
      <w:r w:rsidR="00DD2E43" w:rsidRPr="00022DEB">
        <w:rPr>
          <w:rFonts w:cs="Tahoma"/>
          <w:bCs/>
          <w:lang w:val="en-GB"/>
        </w:rPr>
        <w:t>instrument</w:t>
      </w:r>
      <w:r w:rsidR="00AA6A09" w:rsidRPr="00022DEB">
        <w:rPr>
          <w:rFonts w:cs="Tahoma"/>
          <w:bCs/>
          <w:lang w:val="en-GB"/>
        </w:rPr>
        <w:t xml:space="preserve"> on the ground to</w:t>
      </w:r>
      <w:r w:rsidR="00ED2F57" w:rsidRPr="00022DEB">
        <w:rPr>
          <w:rFonts w:cs="Tahoma"/>
          <w:bCs/>
          <w:lang w:val="en-GB"/>
        </w:rPr>
        <w:t xml:space="preserve"> </w:t>
      </w:r>
      <w:r w:rsidR="00424B1A" w:rsidRPr="00022DEB">
        <w:rPr>
          <w:rFonts w:cs="Tahoma"/>
          <w:bCs/>
          <w:lang w:val="en-GB"/>
        </w:rPr>
        <w:t xml:space="preserve">engage on </w:t>
      </w:r>
      <w:r w:rsidR="00ED2F57" w:rsidRPr="00022DEB">
        <w:rPr>
          <w:rFonts w:cs="Tahoma"/>
          <w:bCs/>
          <w:lang w:val="en-GB"/>
        </w:rPr>
        <w:t>security and other type of incidents</w:t>
      </w:r>
      <w:r w:rsidR="00A85B90" w:rsidRPr="00022DEB">
        <w:rPr>
          <w:rFonts w:cs="Tahoma"/>
          <w:bCs/>
          <w:lang w:val="en-GB"/>
        </w:rPr>
        <w:t xml:space="preserve">. The process continues to be hampered by </w:t>
      </w:r>
      <w:r w:rsidR="00F02B82" w:rsidRPr="00022DEB">
        <w:rPr>
          <w:rFonts w:cs="Tahoma"/>
          <w:bCs/>
          <w:lang w:val="en-GB"/>
        </w:rPr>
        <w:t>disagreement</w:t>
      </w:r>
      <w:r w:rsidR="00A85B90" w:rsidRPr="00022DEB">
        <w:rPr>
          <w:rFonts w:cs="Tahoma"/>
          <w:bCs/>
          <w:lang w:val="en-GB"/>
        </w:rPr>
        <w:t xml:space="preserve"> on the IPRM rules and </w:t>
      </w:r>
      <w:r w:rsidR="00AB5BF7" w:rsidRPr="00022DEB">
        <w:rPr>
          <w:rFonts w:cs="Tahoma"/>
          <w:bCs/>
          <w:lang w:val="en-GB"/>
        </w:rPr>
        <w:t xml:space="preserve">the type of </w:t>
      </w:r>
      <w:r w:rsidR="00A85B90" w:rsidRPr="00022DEB">
        <w:rPr>
          <w:rFonts w:cs="Tahoma"/>
          <w:bCs/>
          <w:lang w:val="en-GB"/>
        </w:rPr>
        <w:t xml:space="preserve">issues that can be </w:t>
      </w:r>
      <w:r w:rsidR="00527C42" w:rsidRPr="00022DEB">
        <w:rPr>
          <w:rFonts w:cs="Tahoma"/>
          <w:bCs/>
          <w:lang w:val="en-GB"/>
        </w:rPr>
        <w:t xml:space="preserve">put on the agenda </w:t>
      </w:r>
      <w:r w:rsidR="00AB5BF7" w:rsidRPr="00022DEB">
        <w:rPr>
          <w:rFonts w:cs="Tahoma"/>
          <w:bCs/>
          <w:lang w:val="en-GB"/>
        </w:rPr>
        <w:t>in this framework.</w:t>
      </w:r>
      <w:r w:rsidR="00C0590E" w:rsidRPr="00022DEB">
        <w:rPr>
          <w:rFonts w:cs="Tahoma"/>
          <w:bCs/>
          <w:lang w:val="en-GB"/>
        </w:rPr>
        <w:t xml:space="preserve"> </w:t>
      </w:r>
      <w:r w:rsidR="00424B1A" w:rsidRPr="00022DEB">
        <w:rPr>
          <w:rFonts w:cs="Tahoma"/>
          <w:bCs/>
          <w:lang w:val="en-GB"/>
        </w:rPr>
        <w:t xml:space="preserve">With the IPRM on hold the </w:t>
      </w:r>
      <w:r w:rsidR="00C36E61" w:rsidRPr="00022DEB">
        <w:rPr>
          <w:rFonts w:cs="Tahoma"/>
          <w:bCs/>
          <w:lang w:val="en-GB"/>
        </w:rPr>
        <w:t>h</w:t>
      </w:r>
      <w:r w:rsidR="00424B1A" w:rsidRPr="00022DEB">
        <w:rPr>
          <w:rFonts w:cs="Tahoma"/>
          <w:bCs/>
          <w:lang w:val="en-GB"/>
        </w:rPr>
        <w:t xml:space="preserve">otline </w:t>
      </w:r>
      <w:r w:rsidR="00C36E61" w:rsidRPr="00022DEB">
        <w:rPr>
          <w:rFonts w:cs="Tahoma"/>
          <w:bCs/>
          <w:lang w:val="en-GB"/>
        </w:rPr>
        <w:t xml:space="preserve">managed by the EU Monitoring Mission (EUMM) </w:t>
      </w:r>
      <w:r w:rsidR="00424B1A" w:rsidRPr="00022DEB">
        <w:rPr>
          <w:rFonts w:cs="Tahoma"/>
          <w:bCs/>
          <w:lang w:val="en-GB"/>
        </w:rPr>
        <w:t>continued to be activated indeed in an enhanced manner</w:t>
      </w:r>
      <w:r w:rsidR="00AA6A09" w:rsidRPr="00022DEB">
        <w:rPr>
          <w:rFonts w:cs="Tahoma"/>
          <w:bCs/>
          <w:lang w:val="en-GB"/>
        </w:rPr>
        <w:t xml:space="preserve">. </w:t>
      </w:r>
    </w:p>
    <w:p w:rsidR="002A33FE" w:rsidRPr="00022DEB" w:rsidRDefault="002A33FE" w:rsidP="002A33FE">
      <w:pPr>
        <w:pStyle w:val="ListParagraph"/>
        <w:ind w:left="0"/>
        <w:jc w:val="both"/>
        <w:rPr>
          <w:rFonts w:cs="Tahoma"/>
          <w:bCs/>
          <w:lang w:val="en-GB"/>
        </w:rPr>
      </w:pPr>
    </w:p>
    <w:p w:rsidR="003B4DF1" w:rsidRPr="00022DEB" w:rsidRDefault="00E64288" w:rsidP="00380DE3">
      <w:pPr>
        <w:pStyle w:val="NormalWeb"/>
        <w:keepNext/>
        <w:keepLines/>
        <w:tabs>
          <w:tab w:val="left" w:pos="993"/>
        </w:tabs>
        <w:spacing w:before="0" w:beforeAutospacing="0" w:after="0" w:afterAutospacing="0" w:line="240" w:lineRule="atLeast"/>
        <w:jc w:val="both"/>
        <w:rPr>
          <w:rFonts w:cs="Tahoma"/>
          <w:i/>
          <w:iCs/>
          <w:lang w:val="en-GB"/>
        </w:rPr>
      </w:pPr>
      <w:r w:rsidRPr="00022DEB">
        <w:rPr>
          <w:rFonts w:cs="Tahoma"/>
          <w:i/>
          <w:iCs/>
          <w:lang w:val="en-GB"/>
        </w:rPr>
        <w:lastRenderedPageBreak/>
        <w:t>III.1.ii</w:t>
      </w:r>
      <w:r w:rsidRPr="00022DEB">
        <w:rPr>
          <w:rFonts w:cs="Tahoma"/>
          <w:i/>
          <w:iCs/>
          <w:lang w:val="en-GB"/>
        </w:rPr>
        <w:tab/>
        <w:t>Freedom of movement</w:t>
      </w:r>
    </w:p>
    <w:p w:rsidR="00052E57" w:rsidRPr="00022DEB" w:rsidRDefault="00052E57" w:rsidP="00380DE3">
      <w:pPr>
        <w:pStyle w:val="NormalWeb"/>
        <w:keepNext/>
        <w:keepLines/>
        <w:spacing w:before="0" w:beforeAutospacing="0" w:after="0" w:afterAutospacing="0" w:line="240" w:lineRule="atLeast"/>
        <w:jc w:val="both"/>
        <w:rPr>
          <w:rFonts w:cs="Tahoma"/>
          <w:lang w:val="en-GB"/>
        </w:rPr>
      </w:pPr>
    </w:p>
    <w:p w:rsidR="00132539" w:rsidRPr="00022DEB" w:rsidRDefault="00246902" w:rsidP="00380DE3">
      <w:pPr>
        <w:pStyle w:val="NormalWeb"/>
        <w:keepNext/>
        <w:keepLines/>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According to security observers, t</w:t>
      </w:r>
      <w:r w:rsidR="004C1E53" w:rsidRPr="00022DEB">
        <w:rPr>
          <w:rFonts w:cs="Tahoma"/>
          <w:bCs/>
          <w:lang w:val="en-GB"/>
        </w:rPr>
        <w:t xml:space="preserve">he </w:t>
      </w:r>
      <w:r w:rsidR="000F3B21" w:rsidRPr="00022DEB">
        <w:rPr>
          <w:rFonts w:cs="Tahoma"/>
          <w:bCs/>
          <w:lang w:val="en-GB"/>
        </w:rPr>
        <w:t xml:space="preserve">so-called </w:t>
      </w:r>
      <w:r w:rsidR="007959B2" w:rsidRPr="00022DEB">
        <w:rPr>
          <w:rFonts w:cs="Tahoma"/>
          <w:bCs/>
          <w:lang w:val="en-GB"/>
        </w:rPr>
        <w:t>“</w:t>
      </w:r>
      <w:proofErr w:type="spellStart"/>
      <w:r w:rsidR="000F3B21" w:rsidRPr="00022DEB">
        <w:rPr>
          <w:rFonts w:cs="Tahoma"/>
          <w:bCs/>
          <w:lang w:val="en-GB"/>
        </w:rPr>
        <w:t>borderisation</w:t>
      </w:r>
      <w:proofErr w:type="spellEnd"/>
      <w:r w:rsidR="007959B2" w:rsidRPr="00022DEB">
        <w:rPr>
          <w:rFonts w:cs="Tahoma"/>
          <w:bCs/>
          <w:lang w:val="en-GB"/>
        </w:rPr>
        <w:t>” activities</w:t>
      </w:r>
      <w:r w:rsidR="007D3862">
        <w:rPr>
          <w:rFonts w:cs="Tahoma"/>
          <w:bCs/>
          <w:lang w:val="en-GB"/>
        </w:rPr>
        <w:t>,</w:t>
      </w:r>
      <w:r w:rsidR="007959B2" w:rsidRPr="00022DEB">
        <w:rPr>
          <w:rFonts w:cs="Tahoma"/>
          <w:bCs/>
          <w:lang w:val="en-GB"/>
        </w:rPr>
        <w:t xml:space="preserve"> </w:t>
      </w:r>
      <w:r w:rsidR="007D3862">
        <w:rPr>
          <w:rFonts w:cs="Tahoma"/>
          <w:bCs/>
          <w:lang w:val="en-GB"/>
        </w:rPr>
        <w:t xml:space="preserve">albeit in a more limited manner as reported by the international observers, </w:t>
      </w:r>
      <w:r w:rsidR="004C1E53" w:rsidRPr="00022DEB">
        <w:rPr>
          <w:rFonts w:cs="Tahoma"/>
          <w:bCs/>
          <w:lang w:val="en-GB"/>
        </w:rPr>
        <w:t>continued during the period under r</w:t>
      </w:r>
      <w:r w:rsidRPr="00022DEB">
        <w:rPr>
          <w:rFonts w:cs="Tahoma"/>
          <w:bCs/>
          <w:lang w:val="en-GB"/>
        </w:rPr>
        <w:t>eview resulting in new earth berms and installation of surveillance cameras</w:t>
      </w:r>
      <w:r w:rsidR="004C1E53" w:rsidRPr="00022DEB">
        <w:rPr>
          <w:rFonts w:cs="Tahoma"/>
          <w:bCs/>
          <w:lang w:val="en-GB"/>
        </w:rPr>
        <w:t>.</w:t>
      </w:r>
      <w:r w:rsidR="00406CB3" w:rsidRPr="00022DEB">
        <w:rPr>
          <w:rFonts w:cs="Tahoma"/>
          <w:bCs/>
          <w:lang w:val="en-GB"/>
        </w:rPr>
        <w:t xml:space="preserve"> </w:t>
      </w:r>
      <w:r w:rsidR="00AA6A09" w:rsidRPr="00022DEB">
        <w:rPr>
          <w:rFonts w:cs="Tahoma"/>
          <w:bCs/>
          <w:lang w:val="en-GB"/>
        </w:rPr>
        <w:t xml:space="preserve">The main critical development </w:t>
      </w:r>
      <w:r w:rsidR="000F3B21" w:rsidRPr="00022DEB">
        <w:rPr>
          <w:rFonts w:cs="Tahoma"/>
          <w:bCs/>
          <w:lang w:val="en-GB"/>
        </w:rPr>
        <w:t xml:space="preserve">relating to freedom of movement </w:t>
      </w:r>
      <w:r w:rsidR="00EA732D" w:rsidRPr="00022DEB">
        <w:rPr>
          <w:rFonts w:cs="Tahoma"/>
          <w:bCs/>
          <w:lang w:val="en-GB"/>
        </w:rPr>
        <w:t>concerned</w:t>
      </w:r>
      <w:r w:rsidR="00BB53BE">
        <w:rPr>
          <w:rFonts w:cs="Tahoma"/>
          <w:bCs/>
          <w:lang w:val="en-GB"/>
        </w:rPr>
        <w:t>,</w:t>
      </w:r>
      <w:r w:rsidR="00EA732D" w:rsidRPr="00022DEB">
        <w:rPr>
          <w:rFonts w:cs="Tahoma"/>
          <w:bCs/>
          <w:lang w:val="en-GB"/>
        </w:rPr>
        <w:t xml:space="preserve"> however</w:t>
      </w:r>
      <w:r w:rsidR="00BB53BE">
        <w:rPr>
          <w:rFonts w:cs="Tahoma"/>
          <w:bCs/>
          <w:lang w:val="en-GB"/>
        </w:rPr>
        <w:t>,</w:t>
      </w:r>
      <w:r w:rsidR="000F3B21" w:rsidRPr="00022DEB">
        <w:rPr>
          <w:rFonts w:cs="Tahoma"/>
          <w:bCs/>
          <w:lang w:val="en-GB"/>
        </w:rPr>
        <w:t xml:space="preserve"> the temporary closure </w:t>
      </w:r>
      <w:r w:rsidR="00EA732D" w:rsidRPr="00022DEB">
        <w:rPr>
          <w:rFonts w:cs="Tahoma"/>
          <w:bCs/>
          <w:lang w:val="en-GB"/>
        </w:rPr>
        <w:t xml:space="preserve">for over one month </w:t>
      </w:r>
      <w:r w:rsidR="000F3B21" w:rsidRPr="00022DEB">
        <w:rPr>
          <w:rFonts w:cs="Tahoma"/>
          <w:bCs/>
          <w:lang w:val="en-GB"/>
        </w:rPr>
        <w:t xml:space="preserve">of the </w:t>
      </w:r>
      <w:r w:rsidR="00123089" w:rsidRPr="00022DEB">
        <w:rPr>
          <w:rFonts w:cs="Tahoma"/>
          <w:bCs/>
          <w:lang w:val="en-GB"/>
        </w:rPr>
        <w:t>ABL</w:t>
      </w:r>
      <w:r w:rsidR="00EA732D" w:rsidRPr="00022DEB">
        <w:rPr>
          <w:rFonts w:cs="Tahoma"/>
          <w:bCs/>
          <w:lang w:val="en-GB"/>
        </w:rPr>
        <w:t>,</w:t>
      </w:r>
      <w:r w:rsidR="00123089" w:rsidRPr="00022DEB">
        <w:rPr>
          <w:rFonts w:cs="Tahoma"/>
          <w:bCs/>
          <w:lang w:val="en-GB"/>
        </w:rPr>
        <w:t xml:space="preserve"> </w:t>
      </w:r>
      <w:r w:rsidR="00AA6A09" w:rsidRPr="00022DEB">
        <w:rPr>
          <w:rFonts w:cs="Tahoma"/>
          <w:bCs/>
          <w:lang w:val="en-GB"/>
        </w:rPr>
        <w:t xml:space="preserve">pursuant to a decision of the </w:t>
      </w:r>
      <w:r w:rsidR="00AA6A09" w:rsidRPr="00022DEB">
        <w:rPr>
          <w:rFonts w:cs="Tahoma"/>
          <w:bCs/>
          <w:i/>
          <w:lang w:val="en-GB"/>
        </w:rPr>
        <w:t>de facto</w:t>
      </w:r>
      <w:r w:rsidR="00AA6A09" w:rsidRPr="00022DEB">
        <w:rPr>
          <w:rFonts w:cs="Tahoma"/>
          <w:bCs/>
          <w:lang w:val="en-GB"/>
        </w:rPr>
        <w:t xml:space="preserve"> </w:t>
      </w:r>
      <w:r w:rsidR="004F47A2" w:rsidRPr="00022DEB">
        <w:rPr>
          <w:rFonts w:cs="Tahoma"/>
          <w:bCs/>
          <w:lang w:val="en-GB"/>
        </w:rPr>
        <w:t>authorities</w:t>
      </w:r>
      <w:r w:rsidR="00D22BEC">
        <w:rPr>
          <w:rFonts w:cs="Tahoma"/>
          <w:bCs/>
          <w:lang w:val="en-GB"/>
        </w:rPr>
        <w:t>,</w:t>
      </w:r>
      <w:r w:rsidR="0068266C" w:rsidRPr="00022DEB">
        <w:rPr>
          <w:rFonts w:cs="Tahoma"/>
          <w:bCs/>
          <w:lang w:val="en-GB"/>
        </w:rPr>
        <w:t xml:space="preserve"> arguably</w:t>
      </w:r>
      <w:r w:rsidR="00AA6A09" w:rsidRPr="00022DEB">
        <w:rPr>
          <w:rFonts w:cs="Tahoma"/>
          <w:bCs/>
          <w:lang w:val="en-GB"/>
        </w:rPr>
        <w:t xml:space="preserve"> </w:t>
      </w:r>
      <w:r w:rsidR="00123089" w:rsidRPr="00022DEB">
        <w:rPr>
          <w:rFonts w:cs="Tahoma"/>
          <w:bCs/>
          <w:lang w:val="en-GB"/>
        </w:rPr>
        <w:t>in response to</w:t>
      </w:r>
      <w:r w:rsidR="00D22BEC">
        <w:rPr>
          <w:rFonts w:cs="Tahoma"/>
          <w:bCs/>
          <w:lang w:val="en-GB"/>
        </w:rPr>
        <w:t xml:space="preserve"> a</w:t>
      </w:r>
      <w:r w:rsidR="00123089" w:rsidRPr="00022DEB">
        <w:rPr>
          <w:rFonts w:cs="Tahoma"/>
          <w:bCs/>
          <w:lang w:val="en-GB"/>
        </w:rPr>
        <w:t xml:space="preserve"> perceived public health risk from </w:t>
      </w:r>
      <w:r w:rsidR="004F47A2" w:rsidRPr="00022DEB">
        <w:rPr>
          <w:rFonts w:cs="Tahoma"/>
          <w:bCs/>
          <w:lang w:val="en-GB"/>
        </w:rPr>
        <w:t xml:space="preserve">reported </w:t>
      </w:r>
      <w:r w:rsidR="009C0CF1" w:rsidRPr="00022DEB">
        <w:rPr>
          <w:rFonts w:cs="Tahoma"/>
          <w:bCs/>
          <w:lang w:val="en-GB"/>
        </w:rPr>
        <w:t xml:space="preserve">cases of </w:t>
      </w:r>
      <w:r w:rsidR="00123089" w:rsidRPr="00022DEB">
        <w:rPr>
          <w:rFonts w:cs="Tahoma"/>
          <w:bCs/>
          <w:lang w:val="en-GB"/>
        </w:rPr>
        <w:t>the H1N1</w:t>
      </w:r>
      <w:r w:rsidR="007D3862">
        <w:rPr>
          <w:rFonts w:cs="Tahoma"/>
          <w:bCs/>
          <w:lang w:val="en-GB"/>
        </w:rPr>
        <w:t xml:space="preserve"> (swine flu)</w:t>
      </w:r>
      <w:r w:rsidR="00123089" w:rsidRPr="00022DEB">
        <w:rPr>
          <w:rFonts w:cs="Tahoma"/>
          <w:bCs/>
          <w:lang w:val="en-GB"/>
        </w:rPr>
        <w:t xml:space="preserve"> virus in Georgia</w:t>
      </w:r>
      <w:r w:rsidR="002A33FE" w:rsidRPr="00022DEB">
        <w:rPr>
          <w:rFonts w:cs="Tahoma"/>
          <w:bCs/>
          <w:lang w:val="en-GB"/>
        </w:rPr>
        <w:t>.</w:t>
      </w:r>
      <w:r w:rsidR="00123089" w:rsidRPr="00022DEB">
        <w:rPr>
          <w:rFonts w:cs="Tahoma"/>
          <w:bCs/>
          <w:lang w:val="en-GB"/>
        </w:rPr>
        <w:t xml:space="preserve"> </w:t>
      </w:r>
      <w:r w:rsidR="00132539" w:rsidRPr="00022DEB">
        <w:rPr>
          <w:rFonts w:cs="Tahoma"/>
          <w:bCs/>
          <w:lang w:val="en-GB"/>
        </w:rPr>
        <w:t>The decision</w:t>
      </w:r>
      <w:r w:rsidR="000F3B21" w:rsidRPr="00022DEB">
        <w:rPr>
          <w:rFonts w:cs="Tahoma"/>
          <w:bCs/>
          <w:lang w:val="en-GB"/>
        </w:rPr>
        <w:t xml:space="preserve"> became effective on 11 January and applied to the main crossing point on the Inguri</w:t>
      </w:r>
      <w:r w:rsidR="007959B2" w:rsidRPr="00022DEB">
        <w:rPr>
          <w:rFonts w:cs="Tahoma"/>
          <w:bCs/>
          <w:lang w:val="en-GB"/>
        </w:rPr>
        <w:t xml:space="preserve"> B</w:t>
      </w:r>
      <w:r w:rsidR="000F3B21" w:rsidRPr="00022DEB">
        <w:rPr>
          <w:rFonts w:cs="Tahoma"/>
          <w:bCs/>
          <w:lang w:val="en-GB"/>
        </w:rPr>
        <w:t>ridge and the one in Saberio.</w:t>
      </w:r>
      <w:r w:rsidR="007959B2" w:rsidRPr="00022DEB">
        <w:rPr>
          <w:rFonts w:cs="Tahoma"/>
          <w:bCs/>
          <w:lang w:val="en-GB"/>
        </w:rPr>
        <w:t xml:space="preserve"> </w:t>
      </w:r>
      <w:r w:rsidR="00132539" w:rsidRPr="00022DEB">
        <w:rPr>
          <w:rFonts w:cs="Tahoma"/>
          <w:bCs/>
          <w:lang w:val="en-GB"/>
        </w:rPr>
        <w:t xml:space="preserve">The ABL was </w:t>
      </w:r>
      <w:r w:rsidR="00527C42" w:rsidRPr="00022DEB">
        <w:rPr>
          <w:rFonts w:cs="Tahoma"/>
          <w:bCs/>
          <w:lang w:val="en-GB"/>
        </w:rPr>
        <w:t>re-</w:t>
      </w:r>
      <w:r w:rsidR="00132539" w:rsidRPr="00022DEB">
        <w:rPr>
          <w:rFonts w:cs="Tahoma"/>
          <w:bCs/>
          <w:lang w:val="en-GB"/>
        </w:rPr>
        <w:t>opened on 5 February, reportedly on a temporary basis, depending on the evolution of the situation</w:t>
      </w:r>
      <w:r w:rsidR="00EA732D" w:rsidRPr="00022DEB">
        <w:rPr>
          <w:rFonts w:cs="Tahoma"/>
          <w:bCs/>
          <w:lang w:val="en-GB"/>
        </w:rPr>
        <w:t xml:space="preserve">. </w:t>
      </w:r>
    </w:p>
    <w:p w:rsidR="00132539" w:rsidRPr="00022DEB" w:rsidRDefault="00132539" w:rsidP="00132539">
      <w:pPr>
        <w:pStyle w:val="NormalWeb"/>
        <w:spacing w:before="0" w:beforeAutospacing="0" w:after="0" w:afterAutospacing="0"/>
        <w:jc w:val="both"/>
        <w:rPr>
          <w:rFonts w:cs="Tahoma"/>
          <w:bCs/>
          <w:lang w:val="en-GB"/>
        </w:rPr>
      </w:pPr>
    </w:p>
    <w:p w:rsidR="00F31D85" w:rsidRPr="00022DEB" w:rsidRDefault="00132539" w:rsidP="00F31D85">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 xml:space="preserve">It was reported to the delegation that the restrictions </w:t>
      </w:r>
      <w:r w:rsidR="00D22BEC">
        <w:rPr>
          <w:rFonts w:cs="Tahoma"/>
          <w:bCs/>
          <w:lang w:val="en-GB"/>
        </w:rPr>
        <w:t xml:space="preserve">had </w:t>
      </w:r>
      <w:r w:rsidRPr="00022DEB">
        <w:rPr>
          <w:rFonts w:cs="Tahoma"/>
          <w:bCs/>
          <w:lang w:val="en-GB"/>
        </w:rPr>
        <w:t xml:space="preserve">led to a </w:t>
      </w:r>
      <w:r w:rsidR="00ED2F57" w:rsidRPr="00022DEB">
        <w:rPr>
          <w:rFonts w:cs="Tahoma"/>
          <w:bCs/>
          <w:lang w:val="en-GB"/>
        </w:rPr>
        <w:t xml:space="preserve">full </w:t>
      </w:r>
      <w:r w:rsidRPr="00022DEB">
        <w:rPr>
          <w:rFonts w:cs="Tahoma"/>
          <w:bCs/>
          <w:lang w:val="en-GB"/>
        </w:rPr>
        <w:t>ban on cross-ABL movement although p</w:t>
      </w:r>
      <w:r w:rsidR="00EA732D" w:rsidRPr="00022DEB">
        <w:rPr>
          <w:rFonts w:cs="Tahoma"/>
          <w:bCs/>
          <w:lang w:val="en-GB"/>
        </w:rPr>
        <w:t>ersons in need of medical evacuation and the workers of the Inguri power plant were exceptionally allowed to cross.</w:t>
      </w:r>
      <w:r w:rsidR="0021233C" w:rsidRPr="00022DEB">
        <w:rPr>
          <w:rFonts w:cs="Tahoma"/>
          <w:bCs/>
          <w:lang w:val="en-GB"/>
        </w:rPr>
        <w:t xml:space="preserve"> </w:t>
      </w:r>
      <w:r w:rsidR="00417575" w:rsidRPr="00022DEB">
        <w:rPr>
          <w:rFonts w:cs="Tahoma"/>
          <w:bCs/>
          <w:lang w:val="en-GB"/>
        </w:rPr>
        <w:t>Moreover</w:t>
      </w:r>
      <w:r w:rsidR="00D22BEC">
        <w:rPr>
          <w:rFonts w:cs="Tahoma"/>
          <w:bCs/>
          <w:lang w:val="en-GB"/>
        </w:rPr>
        <w:t>,</w:t>
      </w:r>
      <w:r w:rsidR="00417575" w:rsidRPr="00022DEB">
        <w:rPr>
          <w:rFonts w:cs="Tahoma"/>
          <w:bCs/>
          <w:lang w:val="en-GB"/>
        </w:rPr>
        <w:t xml:space="preserve"> they resulted in a massive reduction of cross-ABL trade. </w:t>
      </w:r>
      <w:r w:rsidR="00F31D85" w:rsidRPr="00022DEB">
        <w:rPr>
          <w:rFonts w:cs="Tahoma"/>
          <w:bCs/>
          <w:lang w:val="en-GB"/>
        </w:rPr>
        <w:t>A</w:t>
      </w:r>
      <w:r w:rsidR="008D2379" w:rsidRPr="00022DEB">
        <w:rPr>
          <w:rFonts w:cs="Tahoma"/>
          <w:bCs/>
          <w:lang w:val="en-GB"/>
        </w:rPr>
        <w:t xml:space="preserve">ll interlocutors </w:t>
      </w:r>
      <w:r w:rsidR="00ED2F57" w:rsidRPr="00022DEB">
        <w:rPr>
          <w:rFonts w:cs="Tahoma"/>
          <w:bCs/>
          <w:lang w:val="en-GB"/>
        </w:rPr>
        <w:t>underscored</w:t>
      </w:r>
      <w:r w:rsidR="008D2379" w:rsidRPr="00022DEB">
        <w:rPr>
          <w:rFonts w:cs="Tahoma"/>
          <w:bCs/>
          <w:lang w:val="en-GB"/>
        </w:rPr>
        <w:t xml:space="preserve"> </w:t>
      </w:r>
      <w:r w:rsidR="00D24B36" w:rsidRPr="00022DEB">
        <w:rPr>
          <w:rFonts w:cs="Tahoma"/>
          <w:bCs/>
          <w:lang w:val="en-GB"/>
        </w:rPr>
        <w:t>the</w:t>
      </w:r>
      <w:r w:rsidR="008D2379" w:rsidRPr="00022DEB">
        <w:rPr>
          <w:rFonts w:cs="Tahoma"/>
          <w:bCs/>
          <w:lang w:val="en-GB"/>
        </w:rPr>
        <w:t xml:space="preserve"> important humanitarian impact </w:t>
      </w:r>
      <w:r w:rsidR="00743213" w:rsidRPr="00022DEB">
        <w:rPr>
          <w:rFonts w:cs="Tahoma"/>
          <w:bCs/>
          <w:lang w:val="en-GB"/>
        </w:rPr>
        <w:t>of such measures in view of the fact that</w:t>
      </w:r>
      <w:r w:rsidR="00ED2F57" w:rsidRPr="00022DEB">
        <w:rPr>
          <w:rFonts w:cs="Tahoma"/>
          <w:bCs/>
          <w:lang w:val="en-GB"/>
        </w:rPr>
        <w:t xml:space="preserve"> </w:t>
      </w:r>
      <w:r w:rsidR="00F31D85" w:rsidRPr="00022DEB">
        <w:rPr>
          <w:rFonts w:cs="Tahoma"/>
          <w:bCs/>
          <w:lang w:val="en-GB"/>
        </w:rPr>
        <w:t>approximately 2</w:t>
      </w:r>
      <w:r w:rsidR="00D22BEC">
        <w:rPr>
          <w:rFonts w:cs="Tahoma"/>
          <w:bCs/>
          <w:lang w:val="en-GB"/>
        </w:rPr>
        <w:t>,</w:t>
      </w:r>
      <w:r w:rsidR="00F31D85" w:rsidRPr="00022DEB">
        <w:rPr>
          <w:rFonts w:cs="Tahoma"/>
          <w:bCs/>
          <w:lang w:val="en-GB"/>
        </w:rPr>
        <w:t xml:space="preserve">500 </w:t>
      </w:r>
      <w:r w:rsidR="008D2379" w:rsidRPr="00022DEB">
        <w:rPr>
          <w:rFonts w:cs="Tahoma"/>
          <w:bCs/>
          <w:lang w:val="en-GB"/>
        </w:rPr>
        <w:t>crossings per day reported</w:t>
      </w:r>
      <w:r w:rsidR="00D24B36" w:rsidRPr="00022DEB">
        <w:rPr>
          <w:rFonts w:cs="Tahoma"/>
          <w:bCs/>
          <w:lang w:val="en-GB"/>
        </w:rPr>
        <w:t>ly</w:t>
      </w:r>
      <w:r w:rsidR="008D2379" w:rsidRPr="00022DEB">
        <w:rPr>
          <w:rFonts w:cs="Tahoma"/>
          <w:bCs/>
          <w:lang w:val="en-GB"/>
        </w:rPr>
        <w:t xml:space="preserve"> take place in </w:t>
      </w:r>
      <w:r w:rsidR="00F31D85" w:rsidRPr="00022DEB">
        <w:rPr>
          <w:rFonts w:cs="Tahoma"/>
          <w:bCs/>
          <w:lang w:val="en-GB"/>
        </w:rPr>
        <w:t>both</w:t>
      </w:r>
      <w:r w:rsidR="008D2379" w:rsidRPr="00022DEB">
        <w:rPr>
          <w:rFonts w:cs="Tahoma"/>
          <w:bCs/>
          <w:lang w:val="en-GB"/>
        </w:rPr>
        <w:t xml:space="preserve"> location</w:t>
      </w:r>
      <w:r w:rsidR="00F31D85" w:rsidRPr="00022DEB">
        <w:rPr>
          <w:rFonts w:cs="Tahoma"/>
          <w:bCs/>
          <w:lang w:val="en-GB"/>
        </w:rPr>
        <w:t>s</w:t>
      </w:r>
      <w:r w:rsidR="008D2379" w:rsidRPr="00022DEB">
        <w:rPr>
          <w:rFonts w:cs="Tahoma"/>
          <w:bCs/>
          <w:lang w:val="en-GB"/>
        </w:rPr>
        <w:t>.</w:t>
      </w:r>
      <w:r w:rsidR="00C2709A" w:rsidRPr="00022DEB">
        <w:rPr>
          <w:rFonts w:cs="Tahoma"/>
          <w:bCs/>
          <w:lang w:val="en-GB"/>
        </w:rPr>
        <w:t xml:space="preserve"> </w:t>
      </w:r>
      <w:r w:rsidR="00F31D85" w:rsidRPr="00022DEB">
        <w:rPr>
          <w:rFonts w:cs="Tahoma"/>
          <w:bCs/>
          <w:lang w:val="en-GB"/>
        </w:rPr>
        <w:t xml:space="preserve">Concerns were also raised that the decision </w:t>
      </w:r>
      <w:r w:rsidR="00743213" w:rsidRPr="00022DEB">
        <w:rPr>
          <w:rFonts w:cs="Tahoma"/>
          <w:bCs/>
          <w:lang w:val="en-GB"/>
        </w:rPr>
        <w:t xml:space="preserve">was the latest in a series of </w:t>
      </w:r>
      <w:r w:rsidR="0068266C" w:rsidRPr="00022DEB">
        <w:rPr>
          <w:rFonts w:cs="Tahoma"/>
          <w:bCs/>
          <w:lang w:val="en-GB"/>
        </w:rPr>
        <w:t>constrain</w:t>
      </w:r>
      <w:r w:rsidR="00D22BEC">
        <w:rPr>
          <w:rFonts w:cs="Tahoma"/>
          <w:bCs/>
          <w:lang w:val="en-GB"/>
        </w:rPr>
        <w:t>t</w:t>
      </w:r>
      <w:r w:rsidR="0068266C" w:rsidRPr="00022DEB">
        <w:rPr>
          <w:rFonts w:cs="Tahoma"/>
          <w:bCs/>
          <w:lang w:val="en-GB"/>
        </w:rPr>
        <w:t>s</w:t>
      </w:r>
      <w:r w:rsidR="00743213" w:rsidRPr="00022DEB">
        <w:rPr>
          <w:rFonts w:cs="Tahoma"/>
          <w:bCs/>
          <w:lang w:val="en-GB"/>
        </w:rPr>
        <w:t xml:space="preserve"> that </w:t>
      </w:r>
      <w:r w:rsidR="00F31D85" w:rsidRPr="00022DEB">
        <w:rPr>
          <w:rFonts w:cs="Tahoma"/>
          <w:bCs/>
          <w:lang w:val="en-GB"/>
        </w:rPr>
        <w:t>ethnic Georgian</w:t>
      </w:r>
      <w:r w:rsidR="00B47CF7" w:rsidRPr="00022DEB">
        <w:rPr>
          <w:rFonts w:cs="Tahoma"/>
          <w:bCs/>
          <w:lang w:val="en-GB"/>
        </w:rPr>
        <w:t>s</w:t>
      </w:r>
      <w:r w:rsidR="00F31D85" w:rsidRPr="00022DEB">
        <w:rPr>
          <w:rFonts w:cs="Tahoma"/>
          <w:bCs/>
          <w:lang w:val="en-GB"/>
        </w:rPr>
        <w:t xml:space="preserve"> in </w:t>
      </w:r>
      <w:proofErr w:type="spellStart"/>
      <w:r w:rsidR="00F31D85" w:rsidRPr="00022DEB">
        <w:rPr>
          <w:rFonts w:cs="Tahoma"/>
          <w:bCs/>
          <w:lang w:val="en-GB"/>
        </w:rPr>
        <w:t>Gali</w:t>
      </w:r>
      <w:proofErr w:type="spellEnd"/>
      <w:r w:rsidR="00B47CF7" w:rsidRPr="00022DEB">
        <w:rPr>
          <w:rFonts w:cs="Tahoma"/>
          <w:bCs/>
          <w:lang w:val="en-GB"/>
        </w:rPr>
        <w:t xml:space="preserve"> have</w:t>
      </w:r>
      <w:r w:rsidR="00743213" w:rsidRPr="00022DEB">
        <w:rPr>
          <w:rFonts w:cs="Tahoma"/>
          <w:bCs/>
          <w:lang w:val="en-GB"/>
        </w:rPr>
        <w:t xml:space="preserve"> faced in recent years regarding access to rights and services. </w:t>
      </w:r>
      <w:r w:rsidR="00676989" w:rsidRPr="00022DEB">
        <w:rPr>
          <w:rFonts w:cs="Tahoma"/>
          <w:bCs/>
          <w:lang w:val="en-GB"/>
        </w:rPr>
        <w:t xml:space="preserve">Taking into account the growing poverty in the </w:t>
      </w:r>
      <w:r w:rsidR="00A9771D" w:rsidRPr="00022DEB">
        <w:rPr>
          <w:rFonts w:cs="Tahoma"/>
          <w:bCs/>
          <w:lang w:val="en-GB"/>
        </w:rPr>
        <w:t>region</w:t>
      </w:r>
      <w:r w:rsidR="00676989" w:rsidRPr="00022DEB">
        <w:rPr>
          <w:rFonts w:cs="Tahoma"/>
          <w:bCs/>
          <w:lang w:val="en-GB"/>
        </w:rPr>
        <w:t>,</w:t>
      </w:r>
      <w:r w:rsidR="00147950" w:rsidRPr="00022DEB">
        <w:rPr>
          <w:rFonts w:cs="Tahoma"/>
          <w:bCs/>
          <w:lang w:val="en-GB"/>
        </w:rPr>
        <w:t xml:space="preserve"> some interlocutors referred to the overall situation as a “creeping crisis”. </w:t>
      </w:r>
    </w:p>
    <w:p w:rsidR="004336CF" w:rsidRPr="00022DEB" w:rsidRDefault="004336CF" w:rsidP="004F47A2">
      <w:pPr>
        <w:rPr>
          <w:rFonts w:cs="Tahoma"/>
          <w:bCs/>
          <w:lang w:val="en-GB"/>
        </w:rPr>
      </w:pPr>
    </w:p>
    <w:p w:rsidR="004336CF" w:rsidRPr="00022DEB" w:rsidRDefault="004336CF" w:rsidP="00036198">
      <w:pPr>
        <w:pStyle w:val="NormalWeb"/>
        <w:numPr>
          <w:ilvl w:val="0"/>
          <w:numId w:val="5"/>
        </w:numPr>
        <w:tabs>
          <w:tab w:val="clear" w:pos="360"/>
          <w:tab w:val="num" w:pos="0"/>
        </w:tabs>
        <w:spacing w:before="0" w:beforeAutospacing="0" w:after="0" w:afterAutospacing="0"/>
        <w:ind w:left="0" w:firstLine="0"/>
        <w:jc w:val="both"/>
        <w:rPr>
          <w:rFonts w:cs="Tahoma"/>
          <w:bCs/>
          <w:i/>
          <w:lang w:val="en-GB"/>
        </w:rPr>
      </w:pPr>
      <w:r w:rsidRPr="00022DEB">
        <w:rPr>
          <w:rFonts w:cs="Tahoma"/>
          <w:bCs/>
          <w:lang w:val="en-GB"/>
        </w:rPr>
        <w:t xml:space="preserve">As regards crossing documents, </w:t>
      </w:r>
      <w:r w:rsidR="00BA3D3B" w:rsidRPr="00022DEB">
        <w:rPr>
          <w:rFonts w:cs="Tahoma"/>
          <w:bCs/>
          <w:lang w:val="en-GB"/>
        </w:rPr>
        <w:t xml:space="preserve">the delegation was informed </w:t>
      </w:r>
      <w:r w:rsidR="00FD1277" w:rsidRPr="00022DEB">
        <w:rPr>
          <w:rFonts w:cs="Tahoma"/>
          <w:bCs/>
          <w:lang w:val="en-GB"/>
        </w:rPr>
        <w:t xml:space="preserve">that </w:t>
      </w:r>
      <w:r w:rsidR="00FB17CF" w:rsidRPr="00022DEB">
        <w:rPr>
          <w:rFonts w:cs="Tahoma"/>
          <w:bCs/>
          <w:lang w:val="en-GB"/>
        </w:rPr>
        <w:t xml:space="preserve">the </w:t>
      </w:r>
      <w:r w:rsidR="00BA3D3B" w:rsidRPr="00022DEB">
        <w:rPr>
          <w:rFonts w:cs="Tahoma"/>
          <w:bCs/>
          <w:lang w:val="en-GB"/>
        </w:rPr>
        <w:t>new rules</w:t>
      </w:r>
      <w:r w:rsidR="00FD1277" w:rsidRPr="00022DEB">
        <w:rPr>
          <w:rFonts w:cs="Tahoma"/>
          <w:bCs/>
          <w:lang w:val="en-GB"/>
        </w:rPr>
        <w:t xml:space="preserve"> </w:t>
      </w:r>
      <w:r w:rsidR="000E4E19" w:rsidRPr="00022DEB">
        <w:rPr>
          <w:rFonts w:cs="Tahoma"/>
          <w:bCs/>
          <w:lang w:val="en-GB"/>
        </w:rPr>
        <w:t xml:space="preserve">introduced </w:t>
      </w:r>
      <w:r w:rsidR="00B12ECD" w:rsidRPr="00022DEB">
        <w:rPr>
          <w:rFonts w:cs="Tahoma"/>
          <w:bCs/>
          <w:lang w:val="en-GB"/>
        </w:rPr>
        <w:t xml:space="preserve">by </w:t>
      </w:r>
      <w:r w:rsidR="000E4E19" w:rsidRPr="00022DEB">
        <w:rPr>
          <w:rFonts w:cs="Tahoma"/>
          <w:bCs/>
          <w:i/>
          <w:lang w:val="en-GB"/>
        </w:rPr>
        <w:t>de facto</w:t>
      </w:r>
      <w:r w:rsidR="000E4E19" w:rsidRPr="00022DEB">
        <w:rPr>
          <w:rFonts w:cs="Tahoma"/>
          <w:bCs/>
          <w:lang w:val="en-GB"/>
        </w:rPr>
        <w:t xml:space="preserve"> decree </w:t>
      </w:r>
      <w:r w:rsidR="00B12ECD" w:rsidRPr="00022DEB">
        <w:rPr>
          <w:rFonts w:cs="Tahoma"/>
          <w:bCs/>
          <w:lang w:val="en-GB"/>
        </w:rPr>
        <w:t>with effect throughout</w:t>
      </w:r>
      <w:r w:rsidR="000E4E19" w:rsidRPr="00022DEB">
        <w:rPr>
          <w:rFonts w:cs="Tahoma"/>
          <w:bCs/>
          <w:lang w:val="en-GB"/>
        </w:rPr>
        <w:t xml:space="preserve"> </w:t>
      </w:r>
      <w:r w:rsidR="00FD1277" w:rsidRPr="00022DEB">
        <w:rPr>
          <w:rFonts w:cs="Tahoma"/>
          <w:bCs/>
          <w:lang w:val="en-GB"/>
        </w:rPr>
        <w:t>2019</w:t>
      </w:r>
      <w:r w:rsidR="00FB17CF" w:rsidRPr="00022DEB">
        <w:rPr>
          <w:rFonts w:cs="Tahoma"/>
          <w:bCs/>
          <w:lang w:val="en-GB"/>
        </w:rPr>
        <w:t xml:space="preserve"> represent a regression from the previous situation</w:t>
      </w:r>
      <w:r w:rsidR="00FD1277" w:rsidRPr="00022DEB">
        <w:rPr>
          <w:rFonts w:cs="Tahoma"/>
          <w:bCs/>
          <w:lang w:val="en-GB"/>
        </w:rPr>
        <w:t>. T</w:t>
      </w:r>
      <w:r w:rsidR="00FB17CF" w:rsidRPr="00022DEB">
        <w:rPr>
          <w:rFonts w:cs="Tahoma"/>
          <w:bCs/>
          <w:lang w:val="en-GB"/>
        </w:rPr>
        <w:t>hey</w:t>
      </w:r>
      <w:r w:rsidR="00FD1277" w:rsidRPr="00022DEB">
        <w:rPr>
          <w:rFonts w:cs="Tahoma"/>
          <w:bCs/>
          <w:lang w:val="en-GB"/>
        </w:rPr>
        <w:t xml:space="preserve"> envisage </w:t>
      </w:r>
      <w:r w:rsidR="00FD1277" w:rsidRPr="00022DEB">
        <w:rPr>
          <w:rFonts w:cs="Tahoma"/>
          <w:bCs/>
          <w:i/>
          <w:lang w:val="en-GB"/>
        </w:rPr>
        <w:t>inter alia</w:t>
      </w:r>
      <w:r w:rsidR="00BA3D3B" w:rsidRPr="00022DEB">
        <w:rPr>
          <w:rFonts w:cs="Tahoma"/>
          <w:bCs/>
          <w:lang w:val="en-GB"/>
        </w:rPr>
        <w:t xml:space="preserve"> </w:t>
      </w:r>
      <w:r w:rsidR="00FD1277" w:rsidRPr="00022DEB">
        <w:rPr>
          <w:rFonts w:cs="Tahoma"/>
          <w:bCs/>
          <w:lang w:val="en-GB"/>
        </w:rPr>
        <w:t xml:space="preserve">that the </w:t>
      </w:r>
      <w:r w:rsidR="00BA3D3B" w:rsidRPr="00022DEB">
        <w:rPr>
          <w:rFonts w:cs="Tahoma"/>
          <w:bCs/>
          <w:lang w:val="en-GB"/>
        </w:rPr>
        <w:t xml:space="preserve">old – declared invalid – </w:t>
      </w:r>
      <w:r w:rsidR="00BA3D3B" w:rsidRPr="00022DEB">
        <w:rPr>
          <w:rFonts w:cs="Tahoma"/>
          <w:bCs/>
          <w:i/>
          <w:lang w:val="en-GB"/>
        </w:rPr>
        <w:t>de facto</w:t>
      </w:r>
      <w:r w:rsidR="00BA3D3B" w:rsidRPr="00022DEB">
        <w:rPr>
          <w:rFonts w:cs="Tahoma"/>
          <w:bCs/>
          <w:lang w:val="en-GB"/>
        </w:rPr>
        <w:t xml:space="preserve"> Abkhaz passports </w:t>
      </w:r>
      <w:r w:rsidR="00FD1277" w:rsidRPr="00022DEB">
        <w:rPr>
          <w:rFonts w:cs="Tahoma"/>
          <w:bCs/>
          <w:lang w:val="en-GB"/>
        </w:rPr>
        <w:t xml:space="preserve">can no longer be used for crossing. Conversely the </w:t>
      </w:r>
      <w:r w:rsidR="00036198" w:rsidRPr="00022DEB">
        <w:rPr>
          <w:rFonts w:cs="Tahoma"/>
          <w:bCs/>
          <w:lang w:val="en-GB"/>
        </w:rPr>
        <w:t xml:space="preserve">validity of the </w:t>
      </w:r>
      <w:r w:rsidR="00FD1277" w:rsidRPr="00022DEB">
        <w:rPr>
          <w:rFonts w:cs="Tahoma"/>
          <w:bCs/>
          <w:lang w:val="en-GB"/>
        </w:rPr>
        <w:t>so-called Form Nr. 9</w:t>
      </w:r>
      <w:r w:rsidR="00036198" w:rsidRPr="00022DEB">
        <w:rPr>
          <w:rFonts w:cs="Tahoma"/>
          <w:bCs/>
          <w:lang w:val="en-GB"/>
        </w:rPr>
        <w:t xml:space="preserve"> has been prolonged until the end of 2019 provided that its holders apply for the </w:t>
      </w:r>
      <w:r w:rsidR="00036198" w:rsidRPr="00022DEB">
        <w:rPr>
          <w:rFonts w:cs="Tahoma"/>
          <w:bCs/>
          <w:i/>
          <w:lang w:val="en-GB"/>
        </w:rPr>
        <w:t>de facto</w:t>
      </w:r>
      <w:r w:rsidR="00036198" w:rsidRPr="00022DEB">
        <w:rPr>
          <w:rFonts w:cs="Tahoma"/>
          <w:bCs/>
          <w:lang w:val="en-GB"/>
        </w:rPr>
        <w:t xml:space="preserve"> “foreign </w:t>
      </w:r>
      <w:r w:rsidR="00383621" w:rsidRPr="00022DEB">
        <w:rPr>
          <w:rFonts w:cs="Tahoma"/>
          <w:bCs/>
          <w:lang w:val="en-GB"/>
        </w:rPr>
        <w:t xml:space="preserve">permanent </w:t>
      </w:r>
      <w:r w:rsidR="00036198" w:rsidRPr="00022DEB">
        <w:rPr>
          <w:rFonts w:cs="Tahoma"/>
          <w:bCs/>
          <w:lang w:val="en-GB"/>
        </w:rPr>
        <w:t>residence permit”</w:t>
      </w:r>
      <w:r w:rsidR="00383621" w:rsidRPr="00022DEB">
        <w:rPr>
          <w:rFonts w:cs="Tahoma"/>
          <w:bCs/>
          <w:lang w:val="en-GB"/>
        </w:rPr>
        <w:t>. It is understood that t</w:t>
      </w:r>
      <w:r w:rsidR="00036198" w:rsidRPr="00022DEB">
        <w:rPr>
          <w:rFonts w:cs="Tahoma"/>
          <w:bCs/>
          <w:lang w:val="en-GB"/>
        </w:rPr>
        <w:t xml:space="preserve">he changes will </w:t>
      </w:r>
      <w:r w:rsidR="0033398C" w:rsidRPr="00022DEB">
        <w:rPr>
          <w:rFonts w:cs="Tahoma"/>
          <w:bCs/>
          <w:lang w:val="en-GB"/>
        </w:rPr>
        <w:t>prevent</w:t>
      </w:r>
      <w:r w:rsidR="00036198" w:rsidRPr="00022DEB">
        <w:rPr>
          <w:rFonts w:cs="Tahoma"/>
          <w:bCs/>
          <w:lang w:val="en-GB"/>
        </w:rPr>
        <w:t xml:space="preserve"> </w:t>
      </w:r>
      <w:r w:rsidR="00383621" w:rsidRPr="00022DEB">
        <w:rPr>
          <w:rFonts w:cs="Tahoma"/>
          <w:bCs/>
          <w:lang w:val="en-GB"/>
        </w:rPr>
        <w:t>several thousands of</w:t>
      </w:r>
      <w:r w:rsidR="00036198" w:rsidRPr="00022DEB">
        <w:rPr>
          <w:rFonts w:cs="Tahoma"/>
          <w:bCs/>
          <w:lang w:val="en-GB"/>
        </w:rPr>
        <w:t xml:space="preserve"> ethnic Georgians who </w:t>
      </w:r>
      <w:r w:rsidR="00383621" w:rsidRPr="00022DEB">
        <w:rPr>
          <w:rFonts w:cs="Tahoma"/>
          <w:bCs/>
          <w:lang w:val="en-GB"/>
        </w:rPr>
        <w:t xml:space="preserve">were still using the invalidated </w:t>
      </w:r>
      <w:r w:rsidR="00383621" w:rsidRPr="00022DEB">
        <w:rPr>
          <w:rFonts w:cs="Tahoma"/>
          <w:bCs/>
          <w:i/>
          <w:lang w:val="en-GB"/>
        </w:rPr>
        <w:t>de facto</w:t>
      </w:r>
      <w:r w:rsidR="00383621" w:rsidRPr="00022DEB">
        <w:rPr>
          <w:rFonts w:cs="Tahoma"/>
          <w:bCs/>
          <w:lang w:val="en-GB"/>
        </w:rPr>
        <w:t xml:space="preserve"> passports but </w:t>
      </w:r>
      <w:r w:rsidR="00036198" w:rsidRPr="00022DEB">
        <w:rPr>
          <w:rFonts w:cs="Tahoma"/>
          <w:bCs/>
          <w:lang w:val="en-GB"/>
        </w:rPr>
        <w:t>had not yet applied for a “residence permit” (see also</w:t>
      </w:r>
      <w:r w:rsidR="00036198" w:rsidRPr="00022DEB">
        <w:rPr>
          <w:rFonts w:cs="Tahoma"/>
          <w:i/>
          <w:lang w:val="en-GB"/>
        </w:rPr>
        <w:t xml:space="preserve"> </w:t>
      </w:r>
      <w:r w:rsidR="00036198" w:rsidRPr="00022DEB">
        <w:rPr>
          <w:rFonts w:cs="Tahoma"/>
          <w:bCs/>
          <w:i/>
          <w:lang w:val="en-GB"/>
        </w:rPr>
        <w:t xml:space="preserve">III.1.iii on </w:t>
      </w:r>
      <w:r w:rsidR="00036198" w:rsidRPr="00022DEB">
        <w:rPr>
          <w:rFonts w:cs="Tahoma"/>
          <w:bCs/>
          <w:lang w:val="en-GB"/>
        </w:rPr>
        <w:t>Identity documents)</w:t>
      </w:r>
      <w:r w:rsidR="0033398C" w:rsidRPr="00022DEB">
        <w:rPr>
          <w:rFonts w:cs="Tahoma"/>
          <w:bCs/>
          <w:lang w:val="en-GB"/>
        </w:rPr>
        <w:t xml:space="preserve"> to travel to territory controlled by the Georgian central government</w:t>
      </w:r>
      <w:r w:rsidR="00036198" w:rsidRPr="00022DEB">
        <w:rPr>
          <w:rFonts w:cs="Tahoma"/>
          <w:bCs/>
          <w:lang w:val="en-GB"/>
        </w:rPr>
        <w:t xml:space="preserve">. Some 3 000 elderly and infirm persons may </w:t>
      </w:r>
      <w:r w:rsidR="00F278AD" w:rsidRPr="00022DEB">
        <w:rPr>
          <w:rFonts w:cs="Tahoma"/>
          <w:bCs/>
          <w:lang w:val="en-GB"/>
        </w:rPr>
        <w:t xml:space="preserve">also </w:t>
      </w:r>
      <w:r w:rsidR="00036198" w:rsidRPr="00022DEB">
        <w:rPr>
          <w:rFonts w:cs="Tahoma"/>
          <w:bCs/>
          <w:lang w:val="en-GB"/>
        </w:rPr>
        <w:t xml:space="preserve">be affected by the formal invalidation of the old Soviet internal passports. </w:t>
      </w:r>
    </w:p>
    <w:p w:rsidR="00B47CF7" w:rsidRPr="00022DEB" w:rsidRDefault="00B47CF7" w:rsidP="00B47CF7">
      <w:pPr>
        <w:pStyle w:val="ListParagraph"/>
        <w:rPr>
          <w:rFonts w:cs="Tahoma"/>
          <w:bCs/>
          <w:lang w:val="en-GB"/>
        </w:rPr>
      </w:pPr>
    </w:p>
    <w:p w:rsidR="00031591" w:rsidRPr="00022DEB" w:rsidRDefault="00995390" w:rsidP="00F34D4F">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W</w:t>
      </w:r>
      <w:r w:rsidR="00CF7C4F" w:rsidRPr="00022DEB">
        <w:rPr>
          <w:rFonts w:cs="Tahoma"/>
          <w:bCs/>
          <w:lang w:val="en-GB"/>
        </w:rPr>
        <w:t xml:space="preserve">hile </w:t>
      </w:r>
      <w:r w:rsidR="00F34D4F" w:rsidRPr="00022DEB">
        <w:rPr>
          <w:rFonts w:cs="Tahoma"/>
          <w:bCs/>
          <w:lang w:val="en-GB"/>
        </w:rPr>
        <w:t xml:space="preserve">crossing the ABL outside the “authorised” points </w:t>
      </w:r>
      <w:r w:rsidR="00AA6A09" w:rsidRPr="00022DEB">
        <w:rPr>
          <w:rFonts w:cs="Tahoma"/>
          <w:bCs/>
          <w:lang w:val="en-GB"/>
        </w:rPr>
        <w:t>and/or</w:t>
      </w:r>
      <w:r w:rsidR="00CF7C4F" w:rsidRPr="00022DEB">
        <w:rPr>
          <w:rFonts w:cs="Tahoma"/>
          <w:bCs/>
          <w:lang w:val="en-GB"/>
        </w:rPr>
        <w:t xml:space="preserve"> due to lack of valid documents </w:t>
      </w:r>
      <w:r w:rsidR="00BA3D3B" w:rsidRPr="00022DEB">
        <w:rPr>
          <w:rFonts w:cs="Tahoma"/>
          <w:bCs/>
          <w:lang w:val="en-GB"/>
        </w:rPr>
        <w:t>continued to result in detentions</w:t>
      </w:r>
      <w:r w:rsidRPr="00022DEB">
        <w:rPr>
          <w:rFonts w:cs="Tahoma"/>
          <w:bCs/>
          <w:lang w:val="en-GB"/>
        </w:rPr>
        <w:t>, the number of cases has</w:t>
      </w:r>
      <w:r w:rsidR="00CF7C4F" w:rsidRPr="00022DEB">
        <w:rPr>
          <w:rFonts w:cs="Tahoma"/>
          <w:bCs/>
          <w:lang w:val="en-GB"/>
        </w:rPr>
        <w:t xml:space="preserve"> </w:t>
      </w:r>
      <w:r w:rsidRPr="00022DEB">
        <w:rPr>
          <w:rFonts w:cs="Tahoma"/>
          <w:bCs/>
          <w:lang w:val="en-GB"/>
        </w:rPr>
        <w:t xml:space="preserve">reportedly </w:t>
      </w:r>
      <w:r w:rsidR="00F34D4F" w:rsidRPr="00022DEB">
        <w:rPr>
          <w:rFonts w:cs="Tahoma"/>
          <w:bCs/>
          <w:lang w:val="en-GB"/>
        </w:rPr>
        <w:t>declined</w:t>
      </w:r>
      <w:r w:rsidR="00BA3D3B" w:rsidRPr="00022DEB">
        <w:rPr>
          <w:rFonts w:cs="Tahoma"/>
          <w:bCs/>
          <w:lang w:val="en-GB"/>
        </w:rPr>
        <w:t xml:space="preserve"> compared to previous periods</w:t>
      </w:r>
      <w:r w:rsidR="00F34D4F" w:rsidRPr="00022DEB">
        <w:rPr>
          <w:rFonts w:cs="Tahoma"/>
          <w:bCs/>
          <w:lang w:val="en-GB"/>
        </w:rPr>
        <w:t xml:space="preserve">, with less than 30 </w:t>
      </w:r>
      <w:r w:rsidRPr="00022DEB">
        <w:rPr>
          <w:rFonts w:cs="Tahoma"/>
          <w:bCs/>
          <w:lang w:val="en-GB"/>
        </w:rPr>
        <w:t>in 2018. It is noted that not all cases are reported via the hotline</w:t>
      </w:r>
      <w:r w:rsidR="00F34D4F" w:rsidRPr="00022DEB">
        <w:rPr>
          <w:rFonts w:cs="Tahoma"/>
          <w:bCs/>
          <w:lang w:val="en-GB"/>
        </w:rPr>
        <w:t>. A</w:t>
      </w:r>
      <w:r w:rsidRPr="00022DEB">
        <w:rPr>
          <w:rFonts w:cs="Tahoma"/>
          <w:bCs/>
          <w:lang w:val="en-GB"/>
        </w:rPr>
        <w:t>ccordi</w:t>
      </w:r>
      <w:r w:rsidR="00F34D4F" w:rsidRPr="00022DEB">
        <w:rPr>
          <w:rFonts w:cs="Tahoma"/>
          <w:bCs/>
          <w:lang w:val="en-GB"/>
        </w:rPr>
        <w:t>ng to security observers</w:t>
      </w:r>
      <w:r w:rsidR="00DE417A">
        <w:rPr>
          <w:rFonts w:cs="Tahoma"/>
          <w:bCs/>
          <w:lang w:val="en-GB"/>
        </w:rPr>
        <w:t>,</w:t>
      </w:r>
      <w:r w:rsidR="00F34D4F" w:rsidRPr="00022DEB">
        <w:rPr>
          <w:rFonts w:cs="Tahoma"/>
          <w:bCs/>
          <w:lang w:val="en-GB"/>
        </w:rPr>
        <w:t xml:space="preserve"> the downward trend is mainly related to </w:t>
      </w:r>
      <w:r w:rsidR="00904474">
        <w:rPr>
          <w:rFonts w:cs="Tahoma"/>
          <w:bCs/>
          <w:lang w:val="en-GB"/>
        </w:rPr>
        <w:t>“</w:t>
      </w:r>
      <w:r w:rsidR="00F34D4F" w:rsidRPr="00022DEB">
        <w:rPr>
          <w:rFonts w:cs="Tahoma"/>
          <w:bCs/>
          <w:lang w:val="en-GB"/>
        </w:rPr>
        <w:t xml:space="preserve">effective </w:t>
      </w:r>
      <w:proofErr w:type="spellStart"/>
      <w:r w:rsidR="00F34D4F" w:rsidRPr="00022DEB">
        <w:rPr>
          <w:rFonts w:cs="Tahoma"/>
          <w:bCs/>
          <w:lang w:val="en-GB"/>
        </w:rPr>
        <w:t>borderisation</w:t>
      </w:r>
      <w:proofErr w:type="spellEnd"/>
      <w:r w:rsidR="00F34D4F" w:rsidRPr="00022DEB">
        <w:rPr>
          <w:rFonts w:cs="Tahoma"/>
          <w:bCs/>
          <w:lang w:val="en-GB"/>
        </w:rPr>
        <w:t xml:space="preserve">” and enforcement of </w:t>
      </w:r>
      <w:r w:rsidR="001C077C">
        <w:rPr>
          <w:rFonts w:cs="Tahoma"/>
          <w:bCs/>
          <w:lang w:val="en-GB"/>
        </w:rPr>
        <w:t>“</w:t>
      </w:r>
      <w:r w:rsidR="00F34D4F" w:rsidRPr="00022DEB">
        <w:rPr>
          <w:rFonts w:cs="Tahoma"/>
          <w:bCs/>
          <w:lang w:val="en-GB"/>
        </w:rPr>
        <w:t>crossing rules</w:t>
      </w:r>
      <w:r w:rsidR="001C077C">
        <w:rPr>
          <w:rFonts w:cs="Tahoma"/>
          <w:bCs/>
          <w:lang w:val="en-GB"/>
        </w:rPr>
        <w:t>”</w:t>
      </w:r>
      <w:r w:rsidR="00F34D4F" w:rsidRPr="00022DEB">
        <w:rPr>
          <w:rFonts w:cs="Tahoma"/>
          <w:bCs/>
          <w:lang w:val="en-GB"/>
        </w:rPr>
        <w:t>.</w:t>
      </w:r>
      <w:r w:rsidR="00BA3D3B" w:rsidRPr="00022DEB">
        <w:rPr>
          <w:rFonts w:cs="Tahoma"/>
          <w:bCs/>
          <w:lang w:val="en-GB"/>
        </w:rPr>
        <w:t xml:space="preserve"> </w:t>
      </w:r>
      <w:r w:rsidR="00424B1A" w:rsidRPr="00022DEB">
        <w:rPr>
          <w:rFonts w:cs="Tahoma"/>
          <w:bCs/>
          <w:lang w:val="en-GB"/>
        </w:rPr>
        <w:t>T</w:t>
      </w:r>
      <w:r w:rsidR="00AA6A09" w:rsidRPr="00022DEB">
        <w:rPr>
          <w:rFonts w:cs="Tahoma"/>
          <w:bCs/>
          <w:lang w:val="en-GB"/>
        </w:rPr>
        <w:t xml:space="preserve">hose apprehended are released after paying a </w:t>
      </w:r>
      <w:r w:rsidR="00C2709A" w:rsidRPr="00022DEB">
        <w:rPr>
          <w:rFonts w:cs="Tahoma"/>
          <w:bCs/>
          <w:lang w:val="en-GB"/>
        </w:rPr>
        <w:t>“</w:t>
      </w:r>
      <w:r w:rsidR="00AA6A09" w:rsidRPr="00022DEB">
        <w:rPr>
          <w:rFonts w:cs="Tahoma"/>
          <w:bCs/>
          <w:lang w:val="en-GB"/>
        </w:rPr>
        <w:t>fine</w:t>
      </w:r>
      <w:r w:rsidR="00C2709A" w:rsidRPr="00022DEB">
        <w:rPr>
          <w:rFonts w:cs="Tahoma"/>
          <w:bCs/>
          <w:lang w:val="en-GB"/>
        </w:rPr>
        <w:t>”</w:t>
      </w:r>
      <w:r w:rsidR="00424B1A" w:rsidRPr="00022DEB">
        <w:rPr>
          <w:rFonts w:cs="Tahoma"/>
          <w:bCs/>
          <w:lang w:val="en-GB"/>
        </w:rPr>
        <w:t>, however r</w:t>
      </w:r>
      <w:r w:rsidR="00AA6A09" w:rsidRPr="00022DEB">
        <w:rPr>
          <w:rFonts w:cs="Tahoma"/>
          <w:bCs/>
          <w:lang w:val="en-GB"/>
        </w:rPr>
        <w:t xml:space="preserve">ecurrent “violations” </w:t>
      </w:r>
      <w:r w:rsidR="004336CF" w:rsidRPr="00022DEB">
        <w:rPr>
          <w:rFonts w:cs="Tahoma"/>
          <w:bCs/>
          <w:lang w:val="en-GB"/>
        </w:rPr>
        <w:t xml:space="preserve">reportedly still </w:t>
      </w:r>
      <w:r w:rsidR="00424B1A" w:rsidRPr="00022DEB">
        <w:rPr>
          <w:rFonts w:cs="Tahoma"/>
          <w:bCs/>
          <w:lang w:val="en-GB"/>
        </w:rPr>
        <w:t>result in the levelling of “administrative charges” and longer detention periods</w:t>
      </w:r>
      <w:r w:rsidR="00AA6A09" w:rsidRPr="00022DEB">
        <w:rPr>
          <w:rFonts w:cs="Tahoma"/>
          <w:bCs/>
          <w:lang w:val="en-GB"/>
        </w:rPr>
        <w:t xml:space="preserve">. </w:t>
      </w:r>
    </w:p>
    <w:p w:rsidR="00406CB3" w:rsidRPr="00022DEB" w:rsidRDefault="00406CB3" w:rsidP="00406CB3">
      <w:pPr>
        <w:pStyle w:val="ListParagraph"/>
        <w:rPr>
          <w:rFonts w:cs="Tahoma"/>
          <w:bCs/>
          <w:lang w:val="en-GB"/>
        </w:rPr>
      </w:pPr>
    </w:p>
    <w:p w:rsidR="00406CB3" w:rsidRPr="00022DEB" w:rsidRDefault="00406CB3" w:rsidP="00F34D4F">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The so-called “</w:t>
      </w:r>
      <w:proofErr w:type="spellStart"/>
      <w:r w:rsidRPr="00022DEB">
        <w:rPr>
          <w:rFonts w:cs="Tahoma"/>
          <w:bCs/>
          <w:lang w:val="en-GB"/>
        </w:rPr>
        <w:t>borderisation</w:t>
      </w:r>
      <w:proofErr w:type="spellEnd"/>
      <w:r w:rsidRPr="00022DEB">
        <w:rPr>
          <w:rFonts w:cs="Tahoma"/>
          <w:bCs/>
          <w:lang w:val="en-GB"/>
        </w:rPr>
        <w:t>” process and the related constrain</w:t>
      </w:r>
      <w:r w:rsidR="00DE417A">
        <w:rPr>
          <w:rFonts w:cs="Tahoma"/>
          <w:bCs/>
          <w:lang w:val="en-GB"/>
        </w:rPr>
        <w:t>t</w:t>
      </w:r>
      <w:r w:rsidRPr="00022DEB">
        <w:rPr>
          <w:rFonts w:cs="Tahoma"/>
          <w:bCs/>
          <w:lang w:val="en-GB"/>
        </w:rPr>
        <w:t>s on freedom of movement continued to elicit sharp criticism by the Georgian government, international organisations as well as some states. International humanitarian actors have strongly advised against such restrictions.</w:t>
      </w:r>
    </w:p>
    <w:p w:rsidR="00F34D4F" w:rsidRPr="00022DEB" w:rsidRDefault="00F34D4F" w:rsidP="00F34D4F">
      <w:pPr>
        <w:pStyle w:val="NormalWeb"/>
        <w:spacing w:before="0" w:beforeAutospacing="0" w:after="0" w:afterAutospacing="0"/>
        <w:jc w:val="both"/>
        <w:rPr>
          <w:rFonts w:cs="Tahoma"/>
          <w:bCs/>
          <w:lang w:val="en-GB"/>
        </w:rPr>
      </w:pPr>
    </w:p>
    <w:p w:rsidR="003B4DF1" w:rsidRPr="00022DEB" w:rsidRDefault="00EA279F" w:rsidP="00380DE3">
      <w:pPr>
        <w:pStyle w:val="NormalWeb"/>
        <w:keepNext/>
        <w:keepLines/>
        <w:tabs>
          <w:tab w:val="left" w:pos="993"/>
        </w:tabs>
        <w:autoSpaceDE w:val="0"/>
        <w:autoSpaceDN w:val="0"/>
        <w:adjustRightInd w:val="0"/>
        <w:spacing w:before="0" w:beforeAutospacing="0" w:after="0" w:afterAutospacing="0" w:line="240" w:lineRule="atLeast"/>
        <w:jc w:val="both"/>
        <w:rPr>
          <w:rFonts w:cs="Tahoma"/>
          <w:i/>
          <w:lang w:val="en-GB"/>
        </w:rPr>
      </w:pPr>
      <w:r w:rsidRPr="00022DEB">
        <w:rPr>
          <w:rFonts w:cs="Tahoma"/>
          <w:i/>
          <w:lang w:val="en-GB"/>
        </w:rPr>
        <w:lastRenderedPageBreak/>
        <w:t>III.1.ii</w:t>
      </w:r>
      <w:r w:rsidR="00FF427D" w:rsidRPr="00022DEB">
        <w:rPr>
          <w:rFonts w:cs="Tahoma"/>
          <w:i/>
          <w:lang w:val="en-GB"/>
        </w:rPr>
        <w:t>i</w:t>
      </w:r>
      <w:r w:rsidRPr="00022DEB">
        <w:rPr>
          <w:rFonts w:cs="Tahoma"/>
          <w:i/>
          <w:lang w:val="en-GB"/>
        </w:rPr>
        <w:tab/>
      </w:r>
      <w:r w:rsidR="00C41E0B" w:rsidRPr="00022DEB">
        <w:rPr>
          <w:rFonts w:cs="Tahoma"/>
          <w:i/>
          <w:lang w:val="en-GB"/>
        </w:rPr>
        <w:t xml:space="preserve">Identity </w:t>
      </w:r>
      <w:r w:rsidR="00FC29F9" w:rsidRPr="00022DEB">
        <w:rPr>
          <w:rFonts w:cs="Tahoma"/>
          <w:i/>
          <w:lang w:val="en-GB"/>
        </w:rPr>
        <w:t>d</w:t>
      </w:r>
      <w:r w:rsidR="00C41E0B" w:rsidRPr="00022DEB">
        <w:rPr>
          <w:rFonts w:cs="Tahoma"/>
          <w:i/>
          <w:lang w:val="en-GB"/>
        </w:rPr>
        <w:t xml:space="preserve">ocuments </w:t>
      </w:r>
    </w:p>
    <w:p w:rsidR="00EA279F" w:rsidRPr="00022DEB" w:rsidRDefault="00EA279F" w:rsidP="00380DE3">
      <w:pPr>
        <w:pStyle w:val="NormalWeb"/>
        <w:keepNext/>
        <w:keepLines/>
        <w:autoSpaceDE w:val="0"/>
        <w:autoSpaceDN w:val="0"/>
        <w:adjustRightInd w:val="0"/>
        <w:spacing w:before="0" w:beforeAutospacing="0" w:after="0" w:afterAutospacing="0" w:line="240" w:lineRule="atLeast"/>
        <w:jc w:val="both"/>
        <w:rPr>
          <w:rFonts w:cs="Tahoma"/>
          <w:lang w:val="en-GB"/>
        </w:rPr>
      </w:pPr>
    </w:p>
    <w:p w:rsidR="00AB0F6E" w:rsidRPr="00022DEB" w:rsidRDefault="00680D82" w:rsidP="00380DE3">
      <w:pPr>
        <w:pStyle w:val="NormalWeb"/>
        <w:keepNext/>
        <w:keepLines/>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T</w:t>
      </w:r>
      <w:r w:rsidR="00597B2B" w:rsidRPr="00022DEB">
        <w:rPr>
          <w:rFonts w:cs="Tahoma"/>
          <w:bCs/>
          <w:lang w:val="en-GB"/>
        </w:rPr>
        <w:t xml:space="preserve">he </w:t>
      </w:r>
      <w:r w:rsidRPr="00022DEB">
        <w:rPr>
          <w:rFonts w:cs="Tahoma"/>
          <w:bCs/>
          <w:lang w:val="en-GB"/>
        </w:rPr>
        <w:t xml:space="preserve">documentation gap continued to </w:t>
      </w:r>
      <w:r w:rsidR="00E2436C" w:rsidRPr="00022DEB">
        <w:rPr>
          <w:rFonts w:cs="Tahoma"/>
          <w:bCs/>
          <w:lang w:val="en-GB"/>
        </w:rPr>
        <w:t>have an adverse impact on</w:t>
      </w:r>
      <w:r w:rsidR="00DE417A">
        <w:rPr>
          <w:rFonts w:cs="Tahoma"/>
          <w:bCs/>
          <w:lang w:val="en-GB"/>
        </w:rPr>
        <w:t xml:space="preserve"> the</w:t>
      </w:r>
      <w:r w:rsidR="00E2436C" w:rsidRPr="00022DEB">
        <w:rPr>
          <w:rFonts w:cs="Tahoma"/>
          <w:bCs/>
          <w:lang w:val="en-GB"/>
        </w:rPr>
        <w:t xml:space="preserve"> </w:t>
      </w:r>
      <w:r w:rsidR="00597B2B" w:rsidRPr="00022DEB">
        <w:rPr>
          <w:rFonts w:cs="Tahoma"/>
          <w:bCs/>
          <w:lang w:val="en-GB"/>
        </w:rPr>
        <w:t xml:space="preserve">legal status and effective enjoyment of rights of the ethnic Georgian population living in </w:t>
      </w:r>
      <w:proofErr w:type="spellStart"/>
      <w:r w:rsidR="00597B2B" w:rsidRPr="00022DEB">
        <w:rPr>
          <w:rFonts w:cs="Tahoma"/>
          <w:bCs/>
          <w:lang w:val="en-GB"/>
        </w:rPr>
        <w:t>Gali</w:t>
      </w:r>
      <w:proofErr w:type="spellEnd"/>
      <w:r w:rsidR="00142257" w:rsidRPr="00022DEB">
        <w:rPr>
          <w:rFonts w:cs="Tahoma"/>
          <w:bCs/>
          <w:lang w:val="en-GB"/>
        </w:rPr>
        <w:t xml:space="preserve"> but also </w:t>
      </w:r>
      <w:proofErr w:type="spellStart"/>
      <w:r w:rsidR="00142257" w:rsidRPr="00022DEB">
        <w:rPr>
          <w:rFonts w:cs="Tahoma"/>
          <w:bCs/>
          <w:lang w:val="en-GB"/>
        </w:rPr>
        <w:t>Ochamchira</w:t>
      </w:r>
      <w:proofErr w:type="spellEnd"/>
      <w:r w:rsidR="00142257" w:rsidRPr="00022DEB">
        <w:rPr>
          <w:rFonts w:cs="Tahoma"/>
          <w:bCs/>
          <w:lang w:val="en-GB"/>
        </w:rPr>
        <w:t xml:space="preserve"> and </w:t>
      </w:r>
      <w:proofErr w:type="spellStart"/>
      <w:r w:rsidR="00142257" w:rsidRPr="00022DEB">
        <w:rPr>
          <w:rFonts w:cs="Tahoma"/>
          <w:bCs/>
          <w:lang w:val="en-GB"/>
        </w:rPr>
        <w:t>Tkvarcheli</w:t>
      </w:r>
      <w:proofErr w:type="spellEnd"/>
      <w:r w:rsidR="00597B2B" w:rsidRPr="00022DEB">
        <w:rPr>
          <w:rFonts w:cs="Tahoma"/>
          <w:bCs/>
          <w:lang w:val="en-GB"/>
        </w:rPr>
        <w:t xml:space="preserve">. </w:t>
      </w:r>
      <w:r w:rsidR="00E2436C" w:rsidRPr="00022DEB">
        <w:rPr>
          <w:rFonts w:cs="Tahoma"/>
          <w:bCs/>
          <w:lang w:val="en-GB"/>
        </w:rPr>
        <w:t>It was</w:t>
      </w:r>
      <w:r w:rsidR="00225909" w:rsidRPr="00022DEB">
        <w:rPr>
          <w:rFonts w:cs="Tahoma"/>
          <w:bCs/>
          <w:lang w:val="en-GB"/>
        </w:rPr>
        <w:t xml:space="preserve"> reported </w:t>
      </w:r>
      <w:r w:rsidR="00E2436C" w:rsidRPr="00022DEB">
        <w:rPr>
          <w:rFonts w:cs="Tahoma"/>
          <w:bCs/>
          <w:lang w:val="en-GB"/>
        </w:rPr>
        <w:t xml:space="preserve">to the delegation </w:t>
      </w:r>
      <w:r w:rsidR="00225909" w:rsidRPr="00022DEB">
        <w:rPr>
          <w:rFonts w:cs="Tahoma"/>
          <w:bCs/>
          <w:lang w:val="en-GB"/>
        </w:rPr>
        <w:t>that o</w:t>
      </w:r>
      <w:r w:rsidR="00383621" w:rsidRPr="00022DEB">
        <w:rPr>
          <w:rFonts w:cs="Tahoma"/>
          <w:bCs/>
          <w:lang w:val="en-GB"/>
        </w:rPr>
        <w:t>ver 14</w:t>
      </w:r>
      <w:r w:rsidR="00DE417A">
        <w:rPr>
          <w:rFonts w:cs="Tahoma"/>
          <w:bCs/>
          <w:lang w:val="en-GB"/>
        </w:rPr>
        <w:t>,</w:t>
      </w:r>
      <w:r w:rsidR="00142257" w:rsidRPr="00022DEB">
        <w:rPr>
          <w:rFonts w:cs="Tahoma"/>
          <w:bCs/>
          <w:lang w:val="en-GB"/>
        </w:rPr>
        <w:t xml:space="preserve">000 </w:t>
      </w:r>
      <w:r w:rsidR="00383621" w:rsidRPr="00022DEB">
        <w:rPr>
          <w:rFonts w:cs="Tahoma"/>
          <w:bCs/>
          <w:lang w:val="en-GB"/>
        </w:rPr>
        <w:t xml:space="preserve">people </w:t>
      </w:r>
      <w:r w:rsidR="00B242FF">
        <w:rPr>
          <w:rFonts w:cs="Tahoma"/>
          <w:bCs/>
          <w:lang w:val="en-GB"/>
        </w:rPr>
        <w:t xml:space="preserve">had </w:t>
      </w:r>
      <w:r w:rsidR="00142257" w:rsidRPr="00022DEB">
        <w:rPr>
          <w:rFonts w:cs="Tahoma"/>
          <w:bCs/>
          <w:lang w:val="en-GB"/>
        </w:rPr>
        <w:t>applied for the so-called “foreign permanent residence permit”</w:t>
      </w:r>
      <w:r w:rsidR="00383621" w:rsidRPr="00022DEB">
        <w:rPr>
          <w:rFonts w:cs="Tahoma"/>
          <w:bCs/>
          <w:lang w:val="en-GB"/>
        </w:rPr>
        <w:t xml:space="preserve"> </w:t>
      </w:r>
      <w:r w:rsidR="00225909" w:rsidRPr="00022DEB">
        <w:rPr>
          <w:rFonts w:cs="Tahoma"/>
          <w:bCs/>
          <w:lang w:val="en-GB"/>
        </w:rPr>
        <w:t>and approximately 6</w:t>
      </w:r>
      <w:r w:rsidR="00DE417A">
        <w:rPr>
          <w:rFonts w:cs="Tahoma"/>
          <w:bCs/>
          <w:lang w:val="en-GB"/>
        </w:rPr>
        <w:t>,</w:t>
      </w:r>
      <w:r w:rsidR="00225909" w:rsidRPr="00022DEB">
        <w:rPr>
          <w:rFonts w:cs="Tahoma"/>
          <w:bCs/>
          <w:lang w:val="en-GB"/>
        </w:rPr>
        <w:t>000 documents ha</w:t>
      </w:r>
      <w:r w:rsidR="00B242FF">
        <w:rPr>
          <w:rFonts w:cs="Tahoma"/>
          <w:bCs/>
          <w:lang w:val="en-GB"/>
        </w:rPr>
        <w:t>d</w:t>
      </w:r>
      <w:r w:rsidR="00225909" w:rsidRPr="00022DEB">
        <w:rPr>
          <w:rFonts w:cs="Tahoma"/>
          <w:bCs/>
          <w:lang w:val="en-GB"/>
        </w:rPr>
        <w:t xml:space="preserve"> already been issued</w:t>
      </w:r>
      <w:r w:rsidR="00E2436C" w:rsidRPr="00022DEB">
        <w:rPr>
          <w:rFonts w:cs="Tahoma"/>
          <w:bCs/>
          <w:lang w:val="en-GB"/>
        </w:rPr>
        <w:t xml:space="preserve"> by February 201</w:t>
      </w:r>
      <w:r w:rsidR="00904474">
        <w:rPr>
          <w:rFonts w:cs="Tahoma"/>
          <w:bCs/>
          <w:lang w:val="en-GB"/>
        </w:rPr>
        <w:t>9</w:t>
      </w:r>
      <w:r w:rsidR="00142257" w:rsidRPr="00022DEB">
        <w:rPr>
          <w:rFonts w:cs="Tahoma"/>
          <w:bCs/>
          <w:lang w:val="en-GB"/>
        </w:rPr>
        <w:t>.</w:t>
      </w:r>
      <w:r w:rsidR="00383621" w:rsidRPr="00022DEB">
        <w:rPr>
          <w:rFonts w:cs="Tahoma"/>
          <w:bCs/>
          <w:lang w:val="en-GB"/>
        </w:rPr>
        <w:t xml:space="preserve"> </w:t>
      </w:r>
      <w:r w:rsidR="00AD6B2D" w:rsidRPr="00022DEB">
        <w:rPr>
          <w:rFonts w:cs="Tahoma"/>
          <w:bCs/>
          <w:lang w:val="en-GB"/>
        </w:rPr>
        <w:t>It is</w:t>
      </w:r>
      <w:r w:rsidR="00383621" w:rsidRPr="00022DEB">
        <w:rPr>
          <w:rFonts w:cs="Tahoma"/>
          <w:bCs/>
          <w:lang w:val="en-GB"/>
        </w:rPr>
        <w:t xml:space="preserve"> however estimate</w:t>
      </w:r>
      <w:r w:rsidR="00AD6B2D" w:rsidRPr="00022DEB">
        <w:rPr>
          <w:rFonts w:cs="Tahoma"/>
          <w:bCs/>
          <w:lang w:val="en-GB"/>
        </w:rPr>
        <w:t>d</w:t>
      </w:r>
      <w:r w:rsidR="00383621" w:rsidRPr="00022DEB">
        <w:rPr>
          <w:rFonts w:cs="Tahoma"/>
          <w:bCs/>
          <w:lang w:val="en-GB"/>
        </w:rPr>
        <w:t xml:space="preserve"> that over 10</w:t>
      </w:r>
      <w:r w:rsidR="00DE417A">
        <w:rPr>
          <w:rFonts w:cs="Tahoma"/>
          <w:bCs/>
          <w:lang w:val="en-GB"/>
        </w:rPr>
        <w:t>,</w:t>
      </w:r>
      <w:r w:rsidR="00383621" w:rsidRPr="00022DEB">
        <w:rPr>
          <w:rFonts w:cs="Tahoma"/>
          <w:bCs/>
          <w:lang w:val="en-GB"/>
        </w:rPr>
        <w:t xml:space="preserve">000 </w:t>
      </w:r>
      <w:r w:rsidR="00AD6B2D" w:rsidRPr="00022DEB">
        <w:rPr>
          <w:rFonts w:cs="Tahoma"/>
          <w:bCs/>
          <w:lang w:val="en-GB"/>
        </w:rPr>
        <w:t xml:space="preserve">people </w:t>
      </w:r>
      <w:r w:rsidR="00383621" w:rsidRPr="00022DEB">
        <w:rPr>
          <w:rFonts w:cs="Tahoma"/>
          <w:bCs/>
          <w:lang w:val="en-GB"/>
        </w:rPr>
        <w:t xml:space="preserve">have not yet </w:t>
      </w:r>
      <w:r w:rsidR="00E2436C" w:rsidRPr="00022DEB">
        <w:rPr>
          <w:rFonts w:cs="Tahoma"/>
          <w:bCs/>
          <w:lang w:val="en-GB"/>
        </w:rPr>
        <w:t xml:space="preserve">done </w:t>
      </w:r>
      <w:r w:rsidR="00B242FF">
        <w:rPr>
          <w:rFonts w:cs="Tahoma"/>
          <w:bCs/>
          <w:lang w:val="en-GB"/>
        </w:rPr>
        <w:t xml:space="preserve">so </w:t>
      </w:r>
      <w:r w:rsidR="00E2436C" w:rsidRPr="00022DEB">
        <w:rPr>
          <w:rFonts w:cs="Tahoma"/>
          <w:bCs/>
          <w:lang w:val="en-GB"/>
        </w:rPr>
        <w:t>and that</w:t>
      </w:r>
      <w:r w:rsidR="00B242FF">
        <w:rPr>
          <w:rFonts w:cs="Tahoma"/>
          <w:bCs/>
          <w:lang w:val="en-GB"/>
        </w:rPr>
        <w:t>,</w:t>
      </w:r>
      <w:r w:rsidR="00E2436C" w:rsidRPr="00022DEB">
        <w:rPr>
          <w:rFonts w:cs="Tahoma"/>
          <w:bCs/>
          <w:lang w:val="en-GB"/>
        </w:rPr>
        <w:t xml:space="preserve"> m</w:t>
      </w:r>
      <w:r w:rsidR="00225909" w:rsidRPr="00022DEB">
        <w:rPr>
          <w:rFonts w:cs="Tahoma"/>
          <w:bCs/>
          <w:lang w:val="en-GB"/>
        </w:rPr>
        <w:t>oreover</w:t>
      </w:r>
      <w:r w:rsidR="00AB0F6E" w:rsidRPr="00022DEB">
        <w:rPr>
          <w:rFonts w:cs="Tahoma"/>
          <w:bCs/>
          <w:lang w:val="en-GB"/>
        </w:rPr>
        <w:t>,</w:t>
      </w:r>
      <w:r w:rsidR="00225909" w:rsidRPr="00022DEB">
        <w:rPr>
          <w:rFonts w:cs="Tahoma"/>
          <w:bCs/>
          <w:lang w:val="en-GB"/>
        </w:rPr>
        <w:t xml:space="preserve"> not all of the e</w:t>
      </w:r>
      <w:r w:rsidR="00AB0F6E" w:rsidRPr="00022DEB">
        <w:rPr>
          <w:rFonts w:cs="Tahoma"/>
          <w:bCs/>
          <w:lang w:val="en-GB"/>
        </w:rPr>
        <w:t xml:space="preserve">thnic Georgians are eligible. The delegation was also informed that only </w:t>
      </w:r>
      <w:r w:rsidR="00B242FF">
        <w:rPr>
          <w:rFonts w:cs="Tahoma"/>
          <w:bCs/>
          <w:lang w:val="en-GB"/>
        </w:rPr>
        <w:t xml:space="preserve">a </w:t>
      </w:r>
      <w:r w:rsidR="00AB0F6E" w:rsidRPr="00022DEB">
        <w:rPr>
          <w:rFonts w:cs="Tahoma"/>
          <w:bCs/>
          <w:lang w:val="en-GB"/>
        </w:rPr>
        <w:t xml:space="preserve">few applications have been submitted for the new </w:t>
      </w:r>
      <w:r w:rsidR="00AB0F6E" w:rsidRPr="00022DEB">
        <w:rPr>
          <w:rFonts w:cs="Tahoma"/>
          <w:bCs/>
          <w:i/>
          <w:lang w:val="en-GB"/>
        </w:rPr>
        <w:t>de facto</w:t>
      </w:r>
      <w:r w:rsidR="00AB0F6E" w:rsidRPr="00022DEB">
        <w:rPr>
          <w:rFonts w:cs="Tahoma"/>
          <w:bCs/>
          <w:lang w:val="en-GB"/>
        </w:rPr>
        <w:t xml:space="preserve"> Abkhaz </w:t>
      </w:r>
      <w:r w:rsidR="00FB17CF" w:rsidRPr="00022DEB">
        <w:rPr>
          <w:rFonts w:cs="Tahoma"/>
          <w:bCs/>
          <w:lang w:val="en-GB"/>
        </w:rPr>
        <w:t>“</w:t>
      </w:r>
      <w:r w:rsidR="00AB0F6E" w:rsidRPr="00022DEB">
        <w:rPr>
          <w:rFonts w:cs="Tahoma"/>
          <w:bCs/>
          <w:lang w:val="en-GB"/>
        </w:rPr>
        <w:t>passport</w:t>
      </w:r>
      <w:r w:rsidR="00FB17CF" w:rsidRPr="00022DEB">
        <w:rPr>
          <w:rFonts w:cs="Tahoma"/>
          <w:bCs/>
          <w:lang w:val="en-GB"/>
        </w:rPr>
        <w:t>”</w:t>
      </w:r>
      <w:r w:rsidR="00AB0F6E" w:rsidRPr="00022DEB">
        <w:rPr>
          <w:rFonts w:cs="Tahoma"/>
          <w:bCs/>
          <w:lang w:val="en-GB"/>
        </w:rPr>
        <w:t xml:space="preserve">. </w:t>
      </w:r>
      <w:r w:rsidR="00AE7FC6" w:rsidRPr="00022DEB">
        <w:rPr>
          <w:rFonts w:cs="Tahoma"/>
          <w:bCs/>
          <w:lang w:val="en-GB"/>
        </w:rPr>
        <w:t xml:space="preserve">It is understood </w:t>
      </w:r>
      <w:r w:rsidR="00B242FF">
        <w:rPr>
          <w:rFonts w:cs="Tahoma"/>
          <w:bCs/>
          <w:lang w:val="en-GB"/>
        </w:rPr>
        <w:t xml:space="preserve">however </w:t>
      </w:r>
      <w:r w:rsidR="00AE7FC6" w:rsidRPr="00022DEB">
        <w:rPr>
          <w:rFonts w:cs="Tahoma"/>
          <w:bCs/>
          <w:lang w:val="en-GB"/>
        </w:rPr>
        <w:t>that t</w:t>
      </w:r>
      <w:r w:rsidR="00AB0F6E" w:rsidRPr="00022DEB">
        <w:rPr>
          <w:rFonts w:cs="Tahoma"/>
          <w:bCs/>
          <w:lang w:val="en-GB"/>
        </w:rPr>
        <w:t>he large majority of ethnic Georgian</w:t>
      </w:r>
      <w:r w:rsidR="00EE3ACF" w:rsidRPr="00022DEB">
        <w:rPr>
          <w:rFonts w:cs="Tahoma"/>
          <w:bCs/>
          <w:lang w:val="en-GB"/>
        </w:rPr>
        <w:t>s</w:t>
      </w:r>
      <w:r w:rsidR="00AB0F6E" w:rsidRPr="00022DEB">
        <w:rPr>
          <w:rFonts w:cs="Tahoma"/>
          <w:bCs/>
          <w:lang w:val="en-GB"/>
        </w:rPr>
        <w:t xml:space="preserve"> </w:t>
      </w:r>
      <w:r w:rsidR="00EE3ACF" w:rsidRPr="00022DEB">
        <w:rPr>
          <w:rFonts w:cs="Tahoma"/>
          <w:bCs/>
          <w:lang w:val="en-GB"/>
        </w:rPr>
        <w:t xml:space="preserve">are not entitled to obtain this </w:t>
      </w:r>
      <w:r w:rsidR="00FB17CF" w:rsidRPr="00022DEB">
        <w:rPr>
          <w:rFonts w:cs="Tahoma"/>
          <w:bCs/>
          <w:lang w:val="en-GB"/>
        </w:rPr>
        <w:t xml:space="preserve">document </w:t>
      </w:r>
      <w:r w:rsidR="00B242FF">
        <w:rPr>
          <w:rFonts w:cs="Tahoma"/>
          <w:bCs/>
          <w:lang w:val="en-GB"/>
        </w:rPr>
        <w:t xml:space="preserve">if </w:t>
      </w:r>
      <w:r w:rsidR="00FB17CF" w:rsidRPr="00022DEB">
        <w:rPr>
          <w:rFonts w:cs="Tahoma"/>
          <w:bCs/>
          <w:lang w:val="en-GB"/>
        </w:rPr>
        <w:t xml:space="preserve">they also possess Georgian </w:t>
      </w:r>
      <w:r w:rsidR="00F278AD" w:rsidRPr="00022DEB">
        <w:rPr>
          <w:rFonts w:cs="Tahoma"/>
          <w:bCs/>
          <w:lang w:val="en-GB"/>
        </w:rPr>
        <w:t>citizenship</w:t>
      </w:r>
      <w:r w:rsidR="00FB17CF" w:rsidRPr="00022DEB">
        <w:rPr>
          <w:rFonts w:cs="Tahoma"/>
          <w:bCs/>
          <w:lang w:val="en-GB"/>
        </w:rPr>
        <w:t>.</w:t>
      </w:r>
    </w:p>
    <w:p w:rsidR="00FB17CF" w:rsidRPr="00022DEB" w:rsidRDefault="00FB17CF" w:rsidP="00FB17CF">
      <w:pPr>
        <w:pStyle w:val="NormalWeb"/>
        <w:spacing w:before="0" w:beforeAutospacing="0" w:after="0" w:afterAutospacing="0"/>
        <w:jc w:val="both"/>
        <w:rPr>
          <w:rFonts w:cs="Tahoma"/>
          <w:bCs/>
          <w:lang w:val="en-GB"/>
        </w:rPr>
      </w:pPr>
    </w:p>
    <w:p w:rsidR="00FB17CF" w:rsidRPr="00022DEB" w:rsidRDefault="00147950" w:rsidP="00FB17CF">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E</w:t>
      </w:r>
      <w:r w:rsidR="007920DE" w:rsidRPr="00022DEB">
        <w:rPr>
          <w:rFonts w:cs="Tahoma"/>
          <w:bCs/>
          <w:lang w:val="en-GB"/>
        </w:rPr>
        <w:t>thnic Georgian</w:t>
      </w:r>
      <w:r w:rsidR="00AA6778" w:rsidRPr="00022DEB">
        <w:rPr>
          <w:rFonts w:cs="Tahoma"/>
          <w:bCs/>
          <w:lang w:val="en-GB"/>
        </w:rPr>
        <w:t>s</w:t>
      </w:r>
      <w:r w:rsidR="007920DE" w:rsidRPr="00022DEB">
        <w:rPr>
          <w:rFonts w:cs="Tahoma"/>
          <w:bCs/>
          <w:lang w:val="en-GB"/>
        </w:rPr>
        <w:t xml:space="preserve"> </w:t>
      </w:r>
      <w:r w:rsidRPr="00022DEB">
        <w:rPr>
          <w:rFonts w:cs="Tahoma"/>
          <w:bCs/>
          <w:lang w:val="en-GB"/>
        </w:rPr>
        <w:t xml:space="preserve">in Abkhazia </w:t>
      </w:r>
      <w:r w:rsidR="00AD6B2D" w:rsidRPr="00022DEB">
        <w:rPr>
          <w:rFonts w:cs="Tahoma"/>
          <w:bCs/>
          <w:lang w:val="en-GB"/>
        </w:rPr>
        <w:t xml:space="preserve">thus </w:t>
      </w:r>
      <w:r w:rsidRPr="00022DEB">
        <w:rPr>
          <w:rFonts w:cs="Tahoma"/>
          <w:bCs/>
          <w:lang w:val="en-GB"/>
        </w:rPr>
        <w:t>appear</w:t>
      </w:r>
      <w:r w:rsidR="007920DE" w:rsidRPr="00022DEB">
        <w:rPr>
          <w:rFonts w:cs="Tahoma"/>
          <w:bCs/>
          <w:lang w:val="en-GB"/>
        </w:rPr>
        <w:t xml:space="preserve"> </w:t>
      </w:r>
      <w:r w:rsidR="00AD6B2D" w:rsidRPr="00022DEB">
        <w:rPr>
          <w:rFonts w:cs="Tahoma"/>
          <w:bCs/>
          <w:lang w:val="en-GB"/>
        </w:rPr>
        <w:t xml:space="preserve">to face </w:t>
      </w:r>
      <w:r w:rsidR="005F7B97" w:rsidRPr="00022DEB">
        <w:rPr>
          <w:rFonts w:cs="Tahoma"/>
          <w:bCs/>
          <w:lang w:val="en-GB"/>
        </w:rPr>
        <w:t>the difficult choice between declaring</w:t>
      </w:r>
      <w:r w:rsidR="007920DE" w:rsidRPr="00022DEB">
        <w:rPr>
          <w:rFonts w:cs="Tahoma"/>
          <w:bCs/>
          <w:lang w:val="en-GB"/>
        </w:rPr>
        <w:t xml:space="preserve"> themselves foreigners in their ancestral land </w:t>
      </w:r>
      <w:r w:rsidR="005F7B97" w:rsidRPr="00022DEB">
        <w:rPr>
          <w:rFonts w:cs="Tahoma"/>
          <w:bCs/>
          <w:lang w:val="en-GB"/>
        </w:rPr>
        <w:t xml:space="preserve">and accepting a limited level of rights </w:t>
      </w:r>
      <w:r w:rsidR="00AD6B2D" w:rsidRPr="00022DEB">
        <w:rPr>
          <w:rFonts w:cs="Tahoma"/>
          <w:bCs/>
          <w:lang w:val="en-GB"/>
        </w:rPr>
        <w:t xml:space="preserve">attached to the foreign residency </w:t>
      </w:r>
      <w:r w:rsidR="005F7B97" w:rsidRPr="00022DEB">
        <w:rPr>
          <w:rFonts w:cs="Tahoma"/>
          <w:bCs/>
          <w:lang w:val="en-GB"/>
        </w:rPr>
        <w:t>on the one hand</w:t>
      </w:r>
      <w:r w:rsidR="00227D1B" w:rsidRPr="00022DEB">
        <w:rPr>
          <w:rFonts w:cs="Tahoma"/>
          <w:bCs/>
          <w:lang w:val="en-GB"/>
        </w:rPr>
        <w:t>,</w:t>
      </w:r>
      <w:r w:rsidR="005F7B97" w:rsidRPr="00022DEB">
        <w:rPr>
          <w:rFonts w:cs="Tahoma"/>
          <w:bCs/>
          <w:lang w:val="en-GB"/>
        </w:rPr>
        <w:t xml:space="preserve"> and the </w:t>
      </w:r>
      <w:r w:rsidR="00F278AD" w:rsidRPr="00022DEB">
        <w:rPr>
          <w:rFonts w:cs="Tahoma"/>
          <w:bCs/>
          <w:lang w:val="en-GB"/>
        </w:rPr>
        <w:t>prolongation</w:t>
      </w:r>
      <w:r w:rsidR="005F7B97" w:rsidRPr="00022DEB">
        <w:rPr>
          <w:rFonts w:cs="Tahoma"/>
          <w:bCs/>
          <w:lang w:val="en-GB"/>
        </w:rPr>
        <w:t xml:space="preserve"> of the legal status limbo on the other</w:t>
      </w:r>
      <w:r w:rsidR="007920DE" w:rsidRPr="00022DEB">
        <w:rPr>
          <w:rFonts w:cs="Tahoma"/>
          <w:bCs/>
          <w:lang w:val="en-GB"/>
        </w:rPr>
        <w:t>.</w:t>
      </w:r>
      <w:r w:rsidR="00AD6B2D" w:rsidRPr="00022DEB">
        <w:rPr>
          <w:rFonts w:cs="Tahoma"/>
          <w:bCs/>
          <w:lang w:val="en-GB"/>
        </w:rPr>
        <w:t xml:space="preserve"> </w:t>
      </w:r>
      <w:r w:rsidR="00680D82" w:rsidRPr="00022DEB">
        <w:rPr>
          <w:rFonts w:cs="Tahoma"/>
          <w:bCs/>
          <w:lang w:val="en-GB"/>
        </w:rPr>
        <w:t>It was reported that t</w:t>
      </w:r>
      <w:r w:rsidR="00AA6778" w:rsidRPr="00022DEB">
        <w:rPr>
          <w:rFonts w:cs="Tahoma"/>
          <w:bCs/>
          <w:lang w:val="en-GB"/>
        </w:rPr>
        <w:t xml:space="preserve">he new documentation rules introduced in December 2018 </w:t>
      </w:r>
      <w:r w:rsidR="00680D82" w:rsidRPr="00022DEB">
        <w:rPr>
          <w:rFonts w:cs="Tahoma"/>
          <w:bCs/>
          <w:lang w:val="en-GB"/>
        </w:rPr>
        <w:t>sparked objections and</w:t>
      </w:r>
      <w:r w:rsidR="00AA6778" w:rsidRPr="00022DEB">
        <w:rPr>
          <w:rFonts w:cs="Tahoma"/>
          <w:bCs/>
          <w:lang w:val="en-GB"/>
        </w:rPr>
        <w:t xml:space="preserve"> protest</w:t>
      </w:r>
      <w:r w:rsidR="007809B2" w:rsidRPr="00022DEB">
        <w:rPr>
          <w:rFonts w:cs="Tahoma"/>
          <w:bCs/>
          <w:lang w:val="en-GB"/>
        </w:rPr>
        <w:t xml:space="preserve">s in </w:t>
      </w:r>
      <w:proofErr w:type="spellStart"/>
      <w:r w:rsidR="007809B2" w:rsidRPr="00022DEB">
        <w:rPr>
          <w:rFonts w:cs="Tahoma"/>
          <w:bCs/>
          <w:lang w:val="en-GB"/>
        </w:rPr>
        <w:t>Gali</w:t>
      </w:r>
      <w:proofErr w:type="spellEnd"/>
      <w:r w:rsidR="007809B2" w:rsidRPr="00022DEB">
        <w:rPr>
          <w:rFonts w:cs="Tahoma"/>
          <w:bCs/>
          <w:lang w:val="en-GB"/>
        </w:rPr>
        <w:t>. T</w:t>
      </w:r>
      <w:r w:rsidR="00AA6778" w:rsidRPr="00022DEB">
        <w:rPr>
          <w:rFonts w:cs="Tahoma"/>
          <w:bCs/>
          <w:lang w:val="en-GB"/>
        </w:rPr>
        <w:t xml:space="preserve">he </w:t>
      </w:r>
      <w:r w:rsidR="00AA6778" w:rsidRPr="00022DEB">
        <w:rPr>
          <w:rFonts w:cs="Tahoma"/>
          <w:bCs/>
          <w:i/>
          <w:lang w:val="en-GB"/>
        </w:rPr>
        <w:t>de facto</w:t>
      </w:r>
      <w:r w:rsidR="00AA6778" w:rsidRPr="00022DEB">
        <w:rPr>
          <w:rFonts w:cs="Tahoma"/>
          <w:bCs/>
          <w:lang w:val="en-GB"/>
        </w:rPr>
        <w:t xml:space="preserve"> ombudsperson of Abkhazia </w:t>
      </w:r>
      <w:r w:rsidR="00680D82" w:rsidRPr="00022DEB">
        <w:rPr>
          <w:rFonts w:cs="Tahoma"/>
          <w:bCs/>
          <w:lang w:val="en-GB"/>
        </w:rPr>
        <w:t xml:space="preserve">has warned about </w:t>
      </w:r>
      <w:r w:rsidR="002B08F6" w:rsidRPr="00022DEB">
        <w:rPr>
          <w:rFonts w:cs="Tahoma"/>
          <w:bCs/>
          <w:lang w:val="en-GB"/>
        </w:rPr>
        <w:t>further alienation of the local ethnic Georgian population</w:t>
      </w:r>
      <w:r w:rsidR="007809B2" w:rsidRPr="00022DEB">
        <w:rPr>
          <w:rFonts w:cs="Tahoma"/>
          <w:bCs/>
          <w:lang w:val="en-GB"/>
        </w:rPr>
        <w:t xml:space="preserve"> and has called for a long-term and depoliticised solution</w:t>
      </w:r>
      <w:r w:rsidR="002B08F6" w:rsidRPr="00022DEB">
        <w:rPr>
          <w:rFonts w:cs="Tahoma"/>
          <w:bCs/>
          <w:lang w:val="en-GB"/>
        </w:rPr>
        <w:t>.</w:t>
      </w:r>
      <w:r w:rsidR="00A216B3" w:rsidRPr="00022DEB">
        <w:rPr>
          <w:rStyle w:val="FootnoteReference"/>
          <w:rFonts w:cs="Tahoma"/>
          <w:bCs/>
          <w:lang w:val="en-GB"/>
        </w:rPr>
        <w:footnoteReference w:id="13"/>
      </w:r>
      <w:r w:rsidR="002B08F6" w:rsidRPr="00022DEB">
        <w:rPr>
          <w:rFonts w:cs="Tahoma"/>
          <w:bCs/>
          <w:lang w:val="en-GB"/>
        </w:rPr>
        <w:t xml:space="preserve"> </w:t>
      </w:r>
      <w:r w:rsidR="00AD6B2D" w:rsidRPr="00022DEB">
        <w:rPr>
          <w:rFonts w:cs="Tahoma"/>
          <w:bCs/>
          <w:lang w:val="en-GB"/>
        </w:rPr>
        <w:t xml:space="preserve">The delegation’s interlocutors </w:t>
      </w:r>
      <w:r w:rsidR="0033398C" w:rsidRPr="00022DEB">
        <w:rPr>
          <w:rFonts w:cs="Tahoma"/>
          <w:bCs/>
          <w:lang w:val="en-GB"/>
        </w:rPr>
        <w:t>in Tbilisi</w:t>
      </w:r>
      <w:r w:rsidR="003E1CB1" w:rsidRPr="00022DEB">
        <w:rPr>
          <w:rFonts w:cs="Tahoma"/>
          <w:bCs/>
          <w:lang w:val="en-GB"/>
        </w:rPr>
        <w:t xml:space="preserve"> </w:t>
      </w:r>
      <w:r w:rsidRPr="00022DEB">
        <w:rPr>
          <w:rFonts w:cs="Tahoma"/>
          <w:bCs/>
          <w:lang w:val="en-GB"/>
        </w:rPr>
        <w:t xml:space="preserve">did not rule out the risk of </w:t>
      </w:r>
      <w:r w:rsidR="003E1CB1" w:rsidRPr="00022DEB">
        <w:rPr>
          <w:rFonts w:cs="Tahoma"/>
          <w:bCs/>
          <w:lang w:val="en-GB"/>
        </w:rPr>
        <w:t>new displacement</w:t>
      </w:r>
      <w:r w:rsidR="002B08F6" w:rsidRPr="00022DEB">
        <w:rPr>
          <w:rFonts w:cs="Tahoma"/>
          <w:bCs/>
          <w:lang w:val="en-GB"/>
        </w:rPr>
        <w:t xml:space="preserve"> from the region</w:t>
      </w:r>
      <w:r w:rsidRPr="00022DEB">
        <w:rPr>
          <w:rFonts w:cs="Tahoma"/>
          <w:bCs/>
          <w:lang w:val="en-GB"/>
        </w:rPr>
        <w:t xml:space="preserve"> due to growing perceptions of isolation and ethnic discrimination</w:t>
      </w:r>
      <w:r w:rsidR="003E1CB1" w:rsidRPr="00022DEB">
        <w:rPr>
          <w:rFonts w:cs="Tahoma"/>
          <w:bCs/>
          <w:lang w:val="en-GB"/>
        </w:rPr>
        <w:t xml:space="preserve">.  </w:t>
      </w:r>
    </w:p>
    <w:p w:rsidR="00E64288" w:rsidRPr="00022DEB" w:rsidRDefault="00E64288" w:rsidP="00D252B8">
      <w:pPr>
        <w:widowControl w:val="0"/>
        <w:jc w:val="both"/>
        <w:rPr>
          <w:rFonts w:cs="Tahoma"/>
          <w:i/>
          <w:iCs/>
          <w:lang w:val="en-GB"/>
        </w:rPr>
      </w:pPr>
    </w:p>
    <w:p w:rsidR="00E64288" w:rsidRPr="00022DEB" w:rsidRDefault="00E64288" w:rsidP="00D252B8">
      <w:pPr>
        <w:keepNext/>
        <w:widowControl w:val="0"/>
        <w:tabs>
          <w:tab w:val="num" w:pos="0"/>
          <w:tab w:val="num" w:pos="993"/>
        </w:tabs>
        <w:jc w:val="both"/>
        <w:rPr>
          <w:rFonts w:cs="Tahoma"/>
          <w:i/>
          <w:lang w:val="en-GB"/>
        </w:rPr>
      </w:pPr>
      <w:r w:rsidRPr="00022DEB">
        <w:rPr>
          <w:rFonts w:cs="Tahoma"/>
          <w:i/>
          <w:lang w:val="en-GB"/>
        </w:rPr>
        <w:t>III.1.</w:t>
      </w:r>
      <w:r w:rsidR="00D177A3" w:rsidRPr="00022DEB">
        <w:rPr>
          <w:rFonts w:cs="Tahoma"/>
          <w:i/>
          <w:lang w:val="en-GB"/>
        </w:rPr>
        <w:t>i</w:t>
      </w:r>
      <w:r w:rsidRPr="00022DEB">
        <w:rPr>
          <w:rFonts w:cs="Tahoma"/>
          <w:i/>
          <w:lang w:val="en-GB"/>
        </w:rPr>
        <w:t>v</w:t>
      </w:r>
      <w:r w:rsidRPr="00022DEB">
        <w:rPr>
          <w:rFonts w:cs="Tahoma"/>
          <w:i/>
          <w:lang w:val="en-GB"/>
        </w:rPr>
        <w:tab/>
      </w:r>
      <w:r w:rsidR="00C704A5" w:rsidRPr="00022DEB">
        <w:rPr>
          <w:rFonts w:cs="Tahoma"/>
          <w:i/>
          <w:lang w:val="en-GB"/>
        </w:rPr>
        <w:t>Access to e</w:t>
      </w:r>
      <w:r w:rsidR="002E4F34" w:rsidRPr="00022DEB">
        <w:rPr>
          <w:rFonts w:cs="Tahoma"/>
          <w:i/>
          <w:lang w:val="en-GB"/>
        </w:rPr>
        <w:t>ducation</w:t>
      </w:r>
      <w:r w:rsidRPr="00022DEB">
        <w:rPr>
          <w:rFonts w:cs="Tahoma"/>
          <w:i/>
          <w:lang w:val="en-GB"/>
        </w:rPr>
        <w:t xml:space="preserve">, including teaching of/in the </w:t>
      </w:r>
      <w:r w:rsidR="000A3090" w:rsidRPr="00022DEB">
        <w:rPr>
          <w:rFonts w:cs="Tahoma"/>
          <w:i/>
          <w:lang w:val="en-GB"/>
        </w:rPr>
        <w:t>native</w:t>
      </w:r>
      <w:r w:rsidRPr="00022DEB">
        <w:rPr>
          <w:rFonts w:cs="Tahoma"/>
          <w:i/>
          <w:lang w:val="en-GB"/>
        </w:rPr>
        <w:t xml:space="preserve"> language</w:t>
      </w:r>
    </w:p>
    <w:p w:rsidR="00E64288" w:rsidRPr="00022DEB" w:rsidRDefault="00E64288" w:rsidP="00D252B8">
      <w:pPr>
        <w:widowControl w:val="0"/>
        <w:jc w:val="both"/>
        <w:rPr>
          <w:rFonts w:cs="Tahoma"/>
          <w:lang w:val="en-GB"/>
        </w:rPr>
      </w:pPr>
    </w:p>
    <w:p w:rsidR="00AC790E" w:rsidRPr="00022DEB" w:rsidRDefault="00AC790E" w:rsidP="00583E63">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 xml:space="preserve">As regards the situation </w:t>
      </w:r>
      <w:r w:rsidR="00D252B8">
        <w:rPr>
          <w:rFonts w:cs="Tahoma"/>
          <w:bCs/>
          <w:lang w:val="en-GB"/>
        </w:rPr>
        <w:t>of</w:t>
      </w:r>
      <w:r w:rsidRPr="00022DEB">
        <w:rPr>
          <w:rFonts w:cs="Tahoma"/>
          <w:bCs/>
          <w:lang w:val="en-GB"/>
        </w:rPr>
        <w:t xml:space="preserve"> </w:t>
      </w:r>
      <w:r w:rsidR="00D252B8">
        <w:rPr>
          <w:rFonts w:cs="Tahoma"/>
          <w:bCs/>
          <w:lang w:val="en-GB"/>
        </w:rPr>
        <w:t xml:space="preserve">education in the </w:t>
      </w:r>
      <w:r w:rsidRPr="00022DEB">
        <w:rPr>
          <w:rFonts w:cs="Tahoma"/>
          <w:bCs/>
          <w:lang w:val="en-GB"/>
        </w:rPr>
        <w:t>Georgian language</w:t>
      </w:r>
      <w:r w:rsidR="00680D82" w:rsidRPr="00022DEB">
        <w:rPr>
          <w:rFonts w:cs="Tahoma"/>
          <w:bCs/>
          <w:lang w:val="en-GB"/>
        </w:rPr>
        <w:t xml:space="preserve"> in </w:t>
      </w:r>
      <w:r w:rsidR="00D252B8">
        <w:rPr>
          <w:rFonts w:cs="Tahoma"/>
          <w:bCs/>
          <w:lang w:val="en-GB"/>
        </w:rPr>
        <w:t xml:space="preserve">schools in </w:t>
      </w:r>
      <w:r w:rsidR="00680D82" w:rsidRPr="00022DEB">
        <w:rPr>
          <w:rFonts w:cs="Tahoma"/>
          <w:bCs/>
          <w:lang w:val="en-GB"/>
        </w:rPr>
        <w:t xml:space="preserve">the </w:t>
      </w:r>
      <w:proofErr w:type="spellStart"/>
      <w:r w:rsidR="00680D82" w:rsidRPr="00022DEB">
        <w:rPr>
          <w:rFonts w:cs="Tahoma"/>
          <w:bCs/>
          <w:lang w:val="en-GB"/>
        </w:rPr>
        <w:t>Gali</w:t>
      </w:r>
      <w:proofErr w:type="spellEnd"/>
      <w:r w:rsidR="00680D82" w:rsidRPr="00022DEB">
        <w:rPr>
          <w:rFonts w:cs="Tahoma"/>
          <w:bCs/>
          <w:lang w:val="en-GB"/>
        </w:rPr>
        <w:t xml:space="preserve"> district</w:t>
      </w:r>
      <w:r w:rsidR="00FE2035" w:rsidRPr="00022DEB">
        <w:rPr>
          <w:rFonts w:cs="Tahoma"/>
          <w:bCs/>
          <w:lang w:val="en-GB"/>
        </w:rPr>
        <w:t>,</w:t>
      </w:r>
      <w:r w:rsidRPr="00022DEB">
        <w:rPr>
          <w:rFonts w:cs="Tahoma"/>
          <w:bCs/>
          <w:lang w:val="en-GB"/>
        </w:rPr>
        <w:t xml:space="preserve"> no major developments have been noted since the last report.</w:t>
      </w:r>
      <w:r w:rsidR="00680D82" w:rsidRPr="00022DEB">
        <w:rPr>
          <w:rFonts w:cs="Tahoma"/>
          <w:bCs/>
          <w:lang w:val="en-GB"/>
        </w:rPr>
        <w:t xml:space="preserve"> </w:t>
      </w:r>
      <w:r w:rsidR="00B11AF6" w:rsidRPr="00022DEB">
        <w:rPr>
          <w:rFonts w:cs="Tahoma"/>
          <w:bCs/>
          <w:lang w:val="en-GB"/>
        </w:rPr>
        <w:t>Concerns persist on access to e</w:t>
      </w:r>
      <w:r w:rsidR="003B6C0D" w:rsidRPr="00022DEB">
        <w:rPr>
          <w:rFonts w:cs="Tahoma"/>
          <w:bCs/>
          <w:lang w:val="en-GB"/>
        </w:rPr>
        <w:t xml:space="preserve">ducation in </w:t>
      </w:r>
      <w:r w:rsidR="00D252B8">
        <w:rPr>
          <w:rFonts w:cs="Tahoma"/>
          <w:bCs/>
          <w:lang w:val="en-GB"/>
        </w:rPr>
        <w:t xml:space="preserve">the </w:t>
      </w:r>
      <w:r w:rsidR="003B6C0D" w:rsidRPr="00022DEB">
        <w:rPr>
          <w:rFonts w:cs="Tahoma"/>
          <w:bCs/>
          <w:lang w:val="en-GB"/>
        </w:rPr>
        <w:t>native language</w:t>
      </w:r>
      <w:r w:rsidR="00D252B8">
        <w:rPr>
          <w:rFonts w:cs="Tahoma"/>
          <w:bCs/>
          <w:lang w:val="en-GB"/>
        </w:rPr>
        <w:t>,</w:t>
      </w:r>
      <w:r w:rsidR="003B6C0D" w:rsidRPr="00022DEB">
        <w:rPr>
          <w:rFonts w:cs="Tahoma"/>
          <w:bCs/>
          <w:lang w:val="en-GB"/>
        </w:rPr>
        <w:t xml:space="preserve"> in </w:t>
      </w:r>
      <w:r w:rsidR="00583E63" w:rsidRPr="00022DEB">
        <w:rPr>
          <w:rFonts w:cs="Tahoma"/>
          <w:bCs/>
          <w:lang w:val="en-GB"/>
        </w:rPr>
        <w:t xml:space="preserve">particular in </w:t>
      </w:r>
      <w:r w:rsidR="003B6C0D" w:rsidRPr="00022DEB">
        <w:rPr>
          <w:rFonts w:cs="Tahoma"/>
          <w:bCs/>
          <w:lang w:val="en-GB"/>
        </w:rPr>
        <w:t>t</w:t>
      </w:r>
      <w:r w:rsidR="00583E63" w:rsidRPr="00022DEB">
        <w:rPr>
          <w:rFonts w:cs="Tahoma"/>
          <w:bCs/>
          <w:lang w:val="en-GB"/>
        </w:rPr>
        <w:t xml:space="preserve">he schools in Lower </w:t>
      </w:r>
      <w:proofErr w:type="spellStart"/>
      <w:r w:rsidR="00583E63" w:rsidRPr="00022DEB">
        <w:rPr>
          <w:rFonts w:cs="Tahoma"/>
          <w:bCs/>
          <w:lang w:val="en-GB"/>
        </w:rPr>
        <w:t>Gali</w:t>
      </w:r>
      <w:proofErr w:type="spellEnd"/>
      <w:r w:rsidR="00583E63" w:rsidRPr="00022DEB">
        <w:rPr>
          <w:rFonts w:cs="Tahoma"/>
          <w:bCs/>
          <w:lang w:val="en-GB"/>
        </w:rPr>
        <w:t xml:space="preserve"> in view of the gradual transition of instruction to Russian. Presently, schoolchildren in grades 1-7 are taught fully in Russian with limited access to classes in </w:t>
      </w:r>
      <w:r w:rsidR="00D252B8">
        <w:rPr>
          <w:rFonts w:cs="Tahoma"/>
          <w:bCs/>
          <w:lang w:val="en-GB"/>
        </w:rPr>
        <w:t xml:space="preserve">the </w:t>
      </w:r>
      <w:r w:rsidR="00583E63" w:rsidRPr="00022DEB">
        <w:rPr>
          <w:rFonts w:cs="Tahoma"/>
          <w:bCs/>
          <w:lang w:val="en-GB"/>
        </w:rPr>
        <w:t xml:space="preserve">Georgian language and literature. </w:t>
      </w:r>
      <w:r w:rsidR="004B7C7F" w:rsidRPr="00022DEB">
        <w:rPr>
          <w:rFonts w:cs="Tahoma"/>
          <w:bCs/>
          <w:lang w:val="en-GB"/>
        </w:rPr>
        <w:t xml:space="preserve">According </w:t>
      </w:r>
      <w:r w:rsidR="00B91958" w:rsidRPr="00022DEB">
        <w:rPr>
          <w:rFonts w:cs="Tahoma"/>
          <w:bCs/>
          <w:lang w:val="en-GB"/>
        </w:rPr>
        <w:t xml:space="preserve">to </w:t>
      </w:r>
      <w:r w:rsidR="004B7C7F" w:rsidRPr="00022DEB">
        <w:rPr>
          <w:rFonts w:cs="Tahoma"/>
          <w:bCs/>
          <w:lang w:val="en-GB"/>
        </w:rPr>
        <w:t>the Georgian authorities, instruction</w:t>
      </w:r>
      <w:r w:rsidR="00D252B8">
        <w:rPr>
          <w:rFonts w:cs="Tahoma"/>
          <w:bCs/>
          <w:lang w:val="en-GB"/>
        </w:rPr>
        <w:t xml:space="preserve"> </w:t>
      </w:r>
      <w:r w:rsidR="00D252B8" w:rsidRPr="00022DEB">
        <w:rPr>
          <w:rFonts w:cs="Tahoma"/>
          <w:bCs/>
          <w:lang w:val="en-GB"/>
        </w:rPr>
        <w:t>in Upper</w:t>
      </w:r>
      <w:r w:rsidR="00D252B8">
        <w:rPr>
          <w:rFonts w:cs="Tahoma"/>
          <w:bCs/>
          <w:lang w:val="en-GB"/>
        </w:rPr>
        <w:t xml:space="preserve"> </w:t>
      </w:r>
      <w:proofErr w:type="spellStart"/>
      <w:r w:rsidR="00D252B8">
        <w:rPr>
          <w:rFonts w:cs="Tahoma"/>
          <w:bCs/>
          <w:lang w:val="en-GB"/>
        </w:rPr>
        <w:t>Gali</w:t>
      </w:r>
      <w:proofErr w:type="spellEnd"/>
      <w:r w:rsidR="004B7C7F" w:rsidRPr="00022DEB">
        <w:rPr>
          <w:rFonts w:cs="Tahoma"/>
          <w:bCs/>
          <w:lang w:val="en-GB"/>
        </w:rPr>
        <w:t xml:space="preserve"> continued to be offered fully in</w:t>
      </w:r>
      <w:r w:rsidR="00904187" w:rsidRPr="00022DEB">
        <w:rPr>
          <w:rFonts w:cs="Tahoma"/>
          <w:bCs/>
          <w:lang w:val="en-GB"/>
        </w:rPr>
        <w:t xml:space="preserve"> Russian </w:t>
      </w:r>
      <w:r w:rsidR="004B7C7F" w:rsidRPr="00022DEB">
        <w:rPr>
          <w:rFonts w:cs="Tahoma"/>
          <w:bCs/>
          <w:lang w:val="en-GB"/>
        </w:rPr>
        <w:t xml:space="preserve">with Georgian being taught as a foreign language in eight out of nine schools, whereas schoolchildren in </w:t>
      </w:r>
      <w:proofErr w:type="spellStart"/>
      <w:r w:rsidR="004B7C7F" w:rsidRPr="00022DEB">
        <w:rPr>
          <w:rFonts w:cs="Tahoma"/>
          <w:bCs/>
          <w:lang w:val="en-GB"/>
        </w:rPr>
        <w:t>Tkvarcheli</w:t>
      </w:r>
      <w:proofErr w:type="spellEnd"/>
      <w:r w:rsidR="004B7C7F" w:rsidRPr="00022DEB">
        <w:rPr>
          <w:rFonts w:cs="Tahoma"/>
          <w:bCs/>
          <w:lang w:val="en-GB"/>
        </w:rPr>
        <w:t xml:space="preserve"> and </w:t>
      </w:r>
      <w:proofErr w:type="spellStart"/>
      <w:r w:rsidR="004B7C7F" w:rsidRPr="00022DEB">
        <w:rPr>
          <w:rFonts w:cs="Tahoma"/>
          <w:bCs/>
          <w:lang w:val="en-GB"/>
        </w:rPr>
        <w:t>Ochamchira</w:t>
      </w:r>
      <w:proofErr w:type="spellEnd"/>
      <w:r w:rsidR="004B7C7F" w:rsidRPr="00022DEB">
        <w:rPr>
          <w:rFonts w:cs="Tahoma"/>
          <w:bCs/>
          <w:lang w:val="en-GB"/>
        </w:rPr>
        <w:t xml:space="preserve"> </w:t>
      </w:r>
      <w:r w:rsidR="00904187" w:rsidRPr="00022DEB">
        <w:rPr>
          <w:rFonts w:cs="Tahoma"/>
          <w:bCs/>
          <w:lang w:val="en-GB"/>
        </w:rPr>
        <w:t xml:space="preserve">reportedly </w:t>
      </w:r>
      <w:r w:rsidR="004B7C7F" w:rsidRPr="00022DEB">
        <w:rPr>
          <w:rFonts w:cs="Tahoma"/>
          <w:bCs/>
          <w:lang w:val="en-GB"/>
        </w:rPr>
        <w:t xml:space="preserve">have no access to education in their native tongue.  </w:t>
      </w:r>
    </w:p>
    <w:p w:rsidR="00583E63" w:rsidRPr="00022DEB" w:rsidRDefault="00583E63" w:rsidP="00583E63">
      <w:pPr>
        <w:pStyle w:val="NormalWeb"/>
        <w:spacing w:before="0" w:beforeAutospacing="0" w:after="0" w:afterAutospacing="0"/>
        <w:jc w:val="both"/>
        <w:rPr>
          <w:rFonts w:cs="Tahoma"/>
          <w:bCs/>
          <w:lang w:val="en-GB"/>
        </w:rPr>
      </w:pPr>
    </w:p>
    <w:p w:rsidR="00904187" w:rsidRPr="00022DEB" w:rsidRDefault="00AC790E" w:rsidP="00904187">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The Georgian authorities continue to consider this policy as highly discriminatory and have consistently raised the issue in various international formats</w:t>
      </w:r>
      <w:r w:rsidR="00904187" w:rsidRPr="00022DEB">
        <w:rPr>
          <w:rFonts w:cs="Tahoma"/>
          <w:bCs/>
          <w:lang w:val="en-GB"/>
        </w:rPr>
        <w:t>, including in the GID</w:t>
      </w:r>
      <w:r w:rsidRPr="00022DEB">
        <w:rPr>
          <w:rFonts w:cs="Tahoma"/>
          <w:bCs/>
          <w:lang w:val="en-GB"/>
        </w:rPr>
        <w:t xml:space="preserve">. </w:t>
      </w:r>
      <w:r w:rsidR="00904187" w:rsidRPr="00022DEB">
        <w:rPr>
          <w:rFonts w:cs="Tahoma"/>
          <w:bCs/>
          <w:lang w:val="en-GB"/>
        </w:rPr>
        <w:t>Notwithstanding</w:t>
      </w:r>
      <w:r w:rsidR="00904187" w:rsidRPr="00022DEB">
        <w:rPr>
          <w:rFonts w:cs="Tahoma"/>
          <w:b/>
          <w:bCs/>
          <w:lang w:val="en-GB"/>
        </w:rPr>
        <w:t xml:space="preserve"> </w:t>
      </w:r>
      <w:r w:rsidR="00904187" w:rsidRPr="00022DEB">
        <w:rPr>
          <w:rFonts w:cs="Tahoma"/>
          <w:bCs/>
          <w:lang w:val="en-GB"/>
        </w:rPr>
        <w:t>the unfolding situation in Abkhazia, representatives of the Georgian central government reiterated their commitment to fulfil the country’s positive obligation to ensure implementation of the right to education in the mother tongue. In this respect, the delegation was informed about various support programmes</w:t>
      </w:r>
      <w:r w:rsidR="00D252B8">
        <w:rPr>
          <w:rFonts w:cs="Tahoma"/>
          <w:bCs/>
          <w:lang w:val="en-GB"/>
        </w:rPr>
        <w:t>,</w:t>
      </w:r>
      <w:r w:rsidR="00904187" w:rsidRPr="00022DEB">
        <w:rPr>
          <w:rFonts w:cs="Tahoma"/>
          <w:bCs/>
          <w:lang w:val="en-GB"/>
        </w:rPr>
        <w:t xml:space="preserve"> including </w:t>
      </w:r>
      <w:r w:rsidR="00D252B8">
        <w:rPr>
          <w:rFonts w:cs="Tahoma"/>
          <w:bCs/>
          <w:lang w:val="en-GB"/>
        </w:rPr>
        <w:t xml:space="preserve">the </w:t>
      </w:r>
      <w:r w:rsidR="00904187" w:rsidRPr="00022DEB">
        <w:rPr>
          <w:rFonts w:cs="Tahoma"/>
          <w:bCs/>
          <w:lang w:val="en-GB"/>
        </w:rPr>
        <w:t xml:space="preserve">training of teachers, incentives for students as well as </w:t>
      </w:r>
      <w:r w:rsidR="00D252B8">
        <w:rPr>
          <w:rFonts w:cs="Tahoma"/>
          <w:bCs/>
          <w:lang w:val="en-GB"/>
        </w:rPr>
        <w:t xml:space="preserve">the </w:t>
      </w:r>
      <w:r w:rsidR="00904187" w:rsidRPr="00022DEB">
        <w:rPr>
          <w:rFonts w:cs="Tahoma"/>
          <w:bCs/>
          <w:lang w:val="en-GB"/>
        </w:rPr>
        <w:t>recognition of partial and complete education received in non-government controlled territories.</w:t>
      </w:r>
    </w:p>
    <w:p w:rsidR="00904187" w:rsidRPr="00022DEB" w:rsidRDefault="00904187" w:rsidP="00904187">
      <w:pPr>
        <w:pStyle w:val="ListParagraph"/>
        <w:rPr>
          <w:rFonts w:cs="Tahoma"/>
          <w:bCs/>
          <w:lang w:val="en-GB"/>
        </w:rPr>
      </w:pPr>
    </w:p>
    <w:p w:rsidR="00904187" w:rsidRPr="00022DEB" w:rsidRDefault="00904187" w:rsidP="00B11AF6">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22DEB">
        <w:rPr>
          <w:rFonts w:cs="Tahoma"/>
          <w:bCs/>
          <w:lang w:val="en-GB"/>
        </w:rPr>
        <w:t xml:space="preserve">The vulnerable situation of the Abkhaz language has continued to sustain attention. In her inauguration speech, the newly elected President of Georgia underlined among other things the need to protect the Abkhaz language and identity. In meetings with the delegation, representatives of the Georgian central government reiterated their support for bilingual education initiatives and programmes but stressed the need for them to follow the mother-tongue based approach. </w:t>
      </w:r>
    </w:p>
    <w:p w:rsidR="0018087C" w:rsidRPr="00022DEB" w:rsidRDefault="0018087C" w:rsidP="008C2A4C">
      <w:pPr>
        <w:tabs>
          <w:tab w:val="num" w:pos="0"/>
        </w:tabs>
        <w:jc w:val="both"/>
        <w:rPr>
          <w:rFonts w:cs="Tahoma"/>
          <w:i/>
          <w:lang w:val="en-GB"/>
        </w:rPr>
      </w:pPr>
    </w:p>
    <w:p w:rsidR="008C2A4C" w:rsidRPr="00022DEB" w:rsidRDefault="008C2A4C" w:rsidP="008C2A4C">
      <w:pPr>
        <w:tabs>
          <w:tab w:val="num" w:pos="0"/>
        </w:tabs>
        <w:jc w:val="both"/>
        <w:rPr>
          <w:rFonts w:cs="Tahoma"/>
          <w:i/>
          <w:lang w:val="en-GB"/>
        </w:rPr>
      </w:pPr>
      <w:r w:rsidRPr="00022DEB">
        <w:rPr>
          <w:rFonts w:cs="Tahoma"/>
          <w:i/>
          <w:lang w:val="en-GB"/>
        </w:rPr>
        <w:lastRenderedPageBreak/>
        <w:t>III.2</w:t>
      </w:r>
      <w:r w:rsidRPr="00022DEB">
        <w:rPr>
          <w:rFonts w:cs="Tahoma"/>
          <w:i/>
          <w:lang w:val="en-GB"/>
        </w:rPr>
        <w:tab/>
        <w:t>Reports on South Ossetia</w:t>
      </w:r>
    </w:p>
    <w:p w:rsidR="00240F0D" w:rsidRPr="00022DEB" w:rsidRDefault="00240F0D" w:rsidP="00240F0D">
      <w:pPr>
        <w:jc w:val="both"/>
        <w:rPr>
          <w:rFonts w:cs="Tahoma"/>
          <w:lang w:val="en-GB"/>
        </w:rPr>
      </w:pPr>
    </w:p>
    <w:p w:rsidR="00111266" w:rsidRPr="00022DEB" w:rsidRDefault="00111266" w:rsidP="00E06019">
      <w:pPr>
        <w:pStyle w:val="ListParagraph"/>
        <w:numPr>
          <w:ilvl w:val="0"/>
          <w:numId w:val="5"/>
        </w:numPr>
        <w:tabs>
          <w:tab w:val="clear" w:pos="360"/>
          <w:tab w:val="num" w:pos="0"/>
        </w:tabs>
        <w:ind w:left="0" w:firstLine="0"/>
        <w:jc w:val="both"/>
        <w:rPr>
          <w:rFonts w:cs="Tahoma"/>
          <w:bCs/>
          <w:lang w:val="en-GB"/>
        </w:rPr>
      </w:pPr>
      <w:r w:rsidRPr="00022DEB">
        <w:rPr>
          <w:rFonts w:cs="Tahoma"/>
          <w:lang w:val="en-GB"/>
        </w:rPr>
        <w:t xml:space="preserve">The security </w:t>
      </w:r>
      <w:r w:rsidR="00CA3209" w:rsidRPr="00022DEB">
        <w:rPr>
          <w:rFonts w:cs="Tahoma"/>
          <w:lang w:val="en-GB"/>
        </w:rPr>
        <w:t>environment</w:t>
      </w:r>
      <w:r w:rsidRPr="00022DEB">
        <w:rPr>
          <w:rFonts w:cs="Tahoma"/>
          <w:lang w:val="en-GB"/>
        </w:rPr>
        <w:t xml:space="preserve"> across the ABL remained relatively stable during the reporting period. At the same time, security observers were cautious in relation to </w:t>
      </w:r>
      <w:r w:rsidR="00CA3209" w:rsidRPr="00022DEB">
        <w:rPr>
          <w:rFonts w:cs="Tahoma"/>
          <w:lang w:val="en-GB"/>
        </w:rPr>
        <w:t xml:space="preserve">the occurrence of </w:t>
      </w:r>
      <w:r w:rsidR="00713B03" w:rsidRPr="00022DEB">
        <w:rPr>
          <w:rFonts w:cs="Tahoma"/>
          <w:lang w:val="en-GB"/>
        </w:rPr>
        <w:t>military activities</w:t>
      </w:r>
      <w:r w:rsidR="00CA3209" w:rsidRPr="00022DEB">
        <w:rPr>
          <w:rFonts w:cs="Tahoma"/>
          <w:lang w:val="en-GB"/>
        </w:rPr>
        <w:t xml:space="preserve"> </w:t>
      </w:r>
      <w:r w:rsidR="00A4487C" w:rsidRPr="00022DEB">
        <w:rPr>
          <w:rFonts w:cs="Tahoma"/>
          <w:lang w:val="en-GB"/>
        </w:rPr>
        <w:t xml:space="preserve">affecting security perceptions such as </w:t>
      </w:r>
      <w:r w:rsidR="00CA3209" w:rsidRPr="00022DEB">
        <w:rPr>
          <w:rFonts w:cs="Tahoma"/>
          <w:lang w:val="en-GB"/>
        </w:rPr>
        <w:t>violation of Georgian airspace</w:t>
      </w:r>
      <w:r w:rsidRPr="00022DEB">
        <w:rPr>
          <w:rFonts w:cs="Tahoma"/>
          <w:lang w:val="en-GB"/>
        </w:rPr>
        <w:t xml:space="preserve">. </w:t>
      </w:r>
      <w:r w:rsidR="00720D4E" w:rsidRPr="00022DEB">
        <w:rPr>
          <w:rFonts w:cs="Tahoma"/>
          <w:lang w:val="en-GB"/>
        </w:rPr>
        <w:t xml:space="preserve">In a positive development, following a pause of several months, </w:t>
      </w:r>
      <w:r w:rsidR="001F4FFB">
        <w:rPr>
          <w:rFonts w:cs="Tahoma"/>
          <w:lang w:val="en-GB"/>
        </w:rPr>
        <w:t xml:space="preserve">the </w:t>
      </w:r>
      <w:r w:rsidR="00720D4E" w:rsidRPr="00022DEB">
        <w:rPr>
          <w:rFonts w:cs="Tahoma"/>
          <w:lang w:val="en-GB"/>
        </w:rPr>
        <w:t xml:space="preserve">IPRM in </w:t>
      </w:r>
      <w:proofErr w:type="spellStart"/>
      <w:r w:rsidR="00720D4E" w:rsidRPr="00022DEB">
        <w:rPr>
          <w:rFonts w:cs="Tahoma"/>
          <w:lang w:val="en-GB"/>
        </w:rPr>
        <w:t>Ergneti</w:t>
      </w:r>
      <w:proofErr w:type="spellEnd"/>
      <w:r w:rsidR="00720D4E" w:rsidRPr="00022DEB">
        <w:rPr>
          <w:rFonts w:cs="Tahoma"/>
          <w:lang w:val="en-GB"/>
        </w:rPr>
        <w:t xml:space="preserve"> resumed on 18 December 2018 enabling participan</w:t>
      </w:r>
      <w:r w:rsidR="00704E12" w:rsidRPr="00022DEB">
        <w:rPr>
          <w:rFonts w:cs="Tahoma"/>
          <w:lang w:val="en-GB"/>
        </w:rPr>
        <w:t xml:space="preserve">ts to discuss security, </w:t>
      </w:r>
      <w:r w:rsidR="00720D4E" w:rsidRPr="00022DEB">
        <w:rPr>
          <w:rFonts w:cs="Tahoma"/>
          <w:lang w:val="en-GB"/>
        </w:rPr>
        <w:t>freedom of movemen</w:t>
      </w:r>
      <w:r w:rsidR="00DB56A5" w:rsidRPr="00022DEB">
        <w:rPr>
          <w:rFonts w:cs="Tahoma"/>
          <w:lang w:val="en-GB"/>
        </w:rPr>
        <w:t>t and humanitarian issues</w:t>
      </w:r>
      <w:r w:rsidR="005C7866" w:rsidRPr="00022DEB">
        <w:rPr>
          <w:rFonts w:cs="Tahoma"/>
          <w:lang w:val="en-GB"/>
        </w:rPr>
        <w:t xml:space="preserve"> as well as some individual cases</w:t>
      </w:r>
      <w:r w:rsidR="00DB56A5" w:rsidRPr="00022DEB">
        <w:rPr>
          <w:rFonts w:cs="Tahoma"/>
          <w:lang w:val="en-GB"/>
        </w:rPr>
        <w:t xml:space="preserve">. The delegation’s interlocutors also underlined the importance of the </w:t>
      </w:r>
      <w:r w:rsidR="00C36E61" w:rsidRPr="00022DEB">
        <w:rPr>
          <w:rFonts w:cs="Tahoma"/>
          <w:lang w:val="en-GB"/>
        </w:rPr>
        <w:t xml:space="preserve">EUMM-managed </w:t>
      </w:r>
      <w:r w:rsidR="00B91958" w:rsidRPr="00022DEB">
        <w:rPr>
          <w:rFonts w:cs="Tahoma"/>
          <w:lang w:val="en-GB"/>
        </w:rPr>
        <w:t>hotline</w:t>
      </w:r>
      <w:r w:rsidR="00DB56A5" w:rsidRPr="00022DEB">
        <w:rPr>
          <w:rFonts w:cs="Tahoma"/>
          <w:lang w:val="en-GB"/>
        </w:rPr>
        <w:t xml:space="preserve">, which </w:t>
      </w:r>
      <w:r w:rsidR="00720D4E" w:rsidRPr="00022DEB">
        <w:rPr>
          <w:rFonts w:cs="Tahoma"/>
          <w:lang w:val="en-GB"/>
        </w:rPr>
        <w:t xml:space="preserve">continues to </w:t>
      </w:r>
      <w:r w:rsidR="00DB56A5" w:rsidRPr="00022DEB">
        <w:rPr>
          <w:rFonts w:cs="Tahoma"/>
          <w:lang w:val="en-GB"/>
        </w:rPr>
        <w:t>function as an</w:t>
      </w:r>
      <w:r w:rsidR="00720D4E" w:rsidRPr="00022DEB">
        <w:rPr>
          <w:rFonts w:cs="Tahoma"/>
          <w:lang w:val="en-GB"/>
        </w:rPr>
        <w:t xml:space="preserve"> effective early warning mechanism</w:t>
      </w:r>
      <w:r w:rsidR="00A4487C" w:rsidRPr="00022DEB">
        <w:rPr>
          <w:rFonts w:cs="Tahoma"/>
          <w:lang w:val="en-GB"/>
        </w:rPr>
        <w:t xml:space="preserve"> and is actively</w:t>
      </w:r>
      <w:r w:rsidR="00720D4E" w:rsidRPr="00022DEB">
        <w:rPr>
          <w:rFonts w:cs="Tahoma"/>
          <w:lang w:val="en-GB"/>
        </w:rPr>
        <w:t xml:space="preserve"> used by all sides </w:t>
      </w:r>
      <w:r w:rsidR="00DB56A5" w:rsidRPr="00022DEB">
        <w:rPr>
          <w:rFonts w:cs="Tahoma"/>
          <w:lang w:val="en-GB"/>
        </w:rPr>
        <w:t>to address</w:t>
      </w:r>
      <w:r w:rsidR="00720D4E" w:rsidRPr="00022DEB">
        <w:rPr>
          <w:rFonts w:cs="Tahoma"/>
          <w:lang w:val="en-GB"/>
        </w:rPr>
        <w:t xml:space="preserve"> security concerns and exchanging information on incidents</w:t>
      </w:r>
      <w:r w:rsidR="00DB56A5" w:rsidRPr="00022DEB">
        <w:rPr>
          <w:rFonts w:cs="Tahoma"/>
          <w:lang w:val="en-GB"/>
        </w:rPr>
        <w:t xml:space="preserve">. </w:t>
      </w:r>
      <w:r w:rsidR="00713B03" w:rsidRPr="00022DEB">
        <w:rPr>
          <w:rFonts w:cs="Tahoma"/>
          <w:lang w:val="en-GB"/>
        </w:rPr>
        <w:t xml:space="preserve"> </w:t>
      </w:r>
    </w:p>
    <w:p w:rsidR="00111266" w:rsidRPr="00022DEB" w:rsidRDefault="00111266" w:rsidP="00111266">
      <w:pPr>
        <w:pStyle w:val="ListParagraph"/>
        <w:ind w:left="0"/>
        <w:jc w:val="both"/>
        <w:rPr>
          <w:rFonts w:cs="Tahoma"/>
          <w:bCs/>
          <w:lang w:val="en-GB"/>
        </w:rPr>
      </w:pPr>
    </w:p>
    <w:p w:rsidR="00E06019" w:rsidRPr="00022DEB" w:rsidRDefault="00E034D4" w:rsidP="009933A0">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As regards the s</w:t>
      </w:r>
      <w:r w:rsidR="003E772C" w:rsidRPr="00022DEB">
        <w:rPr>
          <w:rFonts w:cs="Tahoma"/>
          <w:bCs/>
          <w:lang w:val="en-GB"/>
        </w:rPr>
        <w:t>o-c</w:t>
      </w:r>
      <w:r w:rsidRPr="00022DEB">
        <w:rPr>
          <w:rFonts w:cs="Tahoma"/>
          <w:bCs/>
          <w:lang w:val="en-GB"/>
        </w:rPr>
        <w:t>alled “</w:t>
      </w:r>
      <w:proofErr w:type="spellStart"/>
      <w:r w:rsidRPr="00022DEB">
        <w:rPr>
          <w:rFonts w:cs="Tahoma"/>
          <w:bCs/>
          <w:lang w:val="en-GB"/>
        </w:rPr>
        <w:t>borderisation</w:t>
      </w:r>
      <w:proofErr w:type="spellEnd"/>
      <w:r w:rsidRPr="00022DEB">
        <w:rPr>
          <w:rFonts w:cs="Tahoma"/>
          <w:bCs/>
          <w:lang w:val="en-GB"/>
        </w:rPr>
        <w:t>” process</w:t>
      </w:r>
      <w:r w:rsidR="00F3506B">
        <w:rPr>
          <w:rFonts w:cs="Tahoma"/>
          <w:bCs/>
          <w:lang w:val="en-GB"/>
        </w:rPr>
        <w:t>,</w:t>
      </w:r>
      <w:r w:rsidRPr="00022DEB">
        <w:rPr>
          <w:rFonts w:cs="Tahoma"/>
          <w:bCs/>
          <w:lang w:val="en-GB"/>
        </w:rPr>
        <w:t xml:space="preserve"> t</w:t>
      </w:r>
      <w:r w:rsidR="00720D4E" w:rsidRPr="00022DEB">
        <w:rPr>
          <w:rFonts w:cs="Tahoma"/>
          <w:bCs/>
          <w:lang w:val="en-GB"/>
        </w:rPr>
        <w:t>he delegat</w:t>
      </w:r>
      <w:r w:rsidRPr="00022DEB">
        <w:rPr>
          <w:rFonts w:cs="Tahoma"/>
          <w:bCs/>
          <w:lang w:val="en-GB"/>
        </w:rPr>
        <w:t xml:space="preserve">ion received information about </w:t>
      </w:r>
      <w:r w:rsidR="00B91958" w:rsidRPr="00022DEB">
        <w:rPr>
          <w:rFonts w:cs="Tahoma"/>
          <w:bCs/>
          <w:lang w:val="en-GB"/>
        </w:rPr>
        <w:t>partial</w:t>
      </w:r>
      <w:r w:rsidRPr="00022DEB">
        <w:rPr>
          <w:rFonts w:cs="Tahoma"/>
          <w:bCs/>
          <w:lang w:val="en-GB"/>
        </w:rPr>
        <w:t xml:space="preserve"> fencing and the reconstruction of an observation tower</w:t>
      </w:r>
      <w:r w:rsidR="00FE2E44" w:rsidRPr="00022DEB">
        <w:rPr>
          <w:rFonts w:cs="Tahoma"/>
          <w:bCs/>
          <w:lang w:val="en-GB"/>
        </w:rPr>
        <w:t xml:space="preserve"> in the village of </w:t>
      </w:r>
      <w:proofErr w:type="spellStart"/>
      <w:r w:rsidR="00FE2E44" w:rsidRPr="00022DEB">
        <w:rPr>
          <w:rFonts w:cs="Tahoma"/>
          <w:bCs/>
          <w:lang w:val="en-GB"/>
        </w:rPr>
        <w:t>Khurvaleti</w:t>
      </w:r>
      <w:proofErr w:type="spellEnd"/>
      <w:r w:rsidR="00FE2E44" w:rsidRPr="00022DEB">
        <w:rPr>
          <w:rFonts w:cs="Tahoma"/>
          <w:bCs/>
          <w:lang w:val="en-GB"/>
        </w:rPr>
        <w:t xml:space="preserve"> in January 2019 as well as installation of metal poles in the vi</w:t>
      </w:r>
      <w:r w:rsidR="00A05375" w:rsidRPr="00022DEB">
        <w:rPr>
          <w:rFonts w:cs="Tahoma"/>
          <w:bCs/>
          <w:lang w:val="en-GB"/>
        </w:rPr>
        <w:t xml:space="preserve">llage of </w:t>
      </w:r>
      <w:proofErr w:type="spellStart"/>
      <w:r w:rsidR="00A05375" w:rsidRPr="00022DEB">
        <w:rPr>
          <w:rFonts w:cs="Tahoma"/>
          <w:bCs/>
          <w:lang w:val="en-GB"/>
        </w:rPr>
        <w:t>Atotsi</w:t>
      </w:r>
      <w:proofErr w:type="spellEnd"/>
      <w:r w:rsidR="00A05375" w:rsidRPr="00022DEB">
        <w:rPr>
          <w:rFonts w:cs="Tahoma"/>
          <w:bCs/>
          <w:lang w:val="en-GB"/>
        </w:rPr>
        <w:t xml:space="preserve"> in November 2018</w:t>
      </w:r>
      <w:r w:rsidR="00FE2E44" w:rsidRPr="00022DEB">
        <w:rPr>
          <w:rFonts w:cs="Tahoma"/>
          <w:bCs/>
          <w:lang w:val="en-GB"/>
        </w:rPr>
        <w:t xml:space="preserve"> leading to further restrictions on freedom of movement and potential loss of livelihoods for the local population. The representatives of the </w:t>
      </w:r>
      <w:r w:rsidR="00403634" w:rsidRPr="00022DEB">
        <w:rPr>
          <w:rFonts w:cs="Tahoma"/>
          <w:bCs/>
          <w:lang w:val="en-GB"/>
        </w:rPr>
        <w:t>central government of Georgia</w:t>
      </w:r>
      <w:r w:rsidR="00FE2E44" w:rsidRPr="00022DEB">
        <w:rPr>
          <w:rFonts w:cs="Tahoma"/>
          <w:bCs/>
          <w:lang w:val="en-GB"/>
        </w:rPr>
        <w:t xml:space="preserve"> expressed particular concerns about new marking</w:t>
      </w:r>
      <w:r w:rsidR="00403634" w:rsidRPr="00022DEB">
        <w:rPr>
          <w:rFonts w:cs="Tahoma"/>
          <w:bCs/>
          <w:lang w:val="en-GB"/>
        </w:rPr>
        <w:t xml:space="preserve">s in </w:t>
      </w:r>
      <w:r w:rsidR="00A05375" w:rsidRPr="00022DEB">
        <w:rPr>
          <w:rFonts w:cs="Tahoma"/>
          <w:bCs/>
          <w:lang w:val="en-GB"/>
        </w:rPr>
        <w:t xml:space="preserve">the vicinity of two villages in </w:t>
      </w:r>
      <w:r w:rsidR="00403634" w:rsidRPr="00022DEB">
        <w:rPr>
          <w:rFonts w:cs="Tahoma"/>
          <w:bCs/>
          <w:lang w:val="en-GB"/>
        </w:rPr>
        <w:t>th</w:t>
      </w:r>
      <w:r w:rsidR="00A05375" w:rsidRPr="00022DEB">
        <w:rPr>
          <w:rFonts w:cs="Tahoma"/>
          <w:bCs/>
          <w:lang w:val="en-GB"/>
        </w:rPr>
        <w:t xml:space="preserve">e </w:t>
      </w:r>
      <w:proofErr w:type="spellStart"/>
      <w:r w:rsidR="00A05375" w:rsidRPr="00022DEB">
        <w:rPr>
          <w:rFonts w:cs="Tahoma"/>
          <w:bCs/>
          <w:lang w:val="en-GB"/>
        </w:rPr>
        <w:t>Khashuri</w:t>
      </w:r>
      <w:proofErr w:type="spellEnd"/>
      <w:r w:rsidR="00A05375" w:rsidRPr="00022DEB">
        <w:rPr>
          <w:rFonts w:cs="Tahoma"/>
          <w:bCs/>
          <w:lang w:val="en-GB"/>
        </w:rPr>
        <w:t xml:space="preserve"> municipality in January 2019 in what appears </w:t>
      </w:r>
      <w:r w:rsidR="009933A0" w:rsidRPr="00022DEB">
        <w:rPr>
          <w:rFonts w:cs="Tahoma"/>
          <w:bCs/>
          <w:lang w:val="en-GB"/>
        </w:rPr>
        <w:t xml:space="preserve">to be </w:t>
      </w:r>
      <w:r w:rsidR="00A05375" w:rsidRPr="00022DEB">
        <w:rPr>
          <w:rFonts w:cs="Tahoma"/>
          <w:bCs/>
          <w:lang w:val="en-GB"/>
        </w:rPr>
        <w:t xml:space="preserve">a continuation </w:t>
      </w:r>
      <w:r w:rsidR="009933A0" w:rsidRPr="00022DEB">
        <w:rPr>
          <w:rFonts w:cs="Tahoma"/>
          <w:bCs/>
          <w:lang w:val="en-GB"/>
        </w:rPr>
        <w:t xml:space="preserve">of attempts to delimitate </w:t>
      </w:r>
      <w:r w:rsidR="00A05375" w:rsidRPr="00022DEB">
        <w:rPr>
          <w:rFonts w:cs="Tahoma"/>
          <w:bCs/>
          <w:lang w:val="en-GB"/>
        </w:rPr>
        <w:t>the ABL</w:t>
      </w:r>
      <w:r w:rsidR="00403634" w:rsidRPr="00022DEB">
        <w:rPr>
          <w:rFonts w:cs="Tahoma"/>
          <w:bCs/>
          <w:lang w:val="en-GB"/>
        </w:rPr>
        <w:t>.</w:t>
      </w:r>
      <w:r w:rsidR="00A05375" w:rsidRPr="00022DEB">
        <w:rPr>
          <w:rFonts w:cs="Tahoma"/>
          <w:bCs/>
          <w:lang w:val="en-GB"/>
        </w:rPr>
        <w:t xml:space="preserve"> Interlocutors </w:t>
      </w:r>
      <w:r w:rsidR="009933A0" w:rsidRPr="00022DEB">
        <w:rPr>
          <w:rFonts w:cs="Tahoma"/>
          <w:bCs/>
          <w:lang w:val="en-GB"/>
        </w:rPr>
        <w:t>responsible for monitoring the</w:t>
      </w:r>
      <w:r w:rsidR="00A05375" w:rsidRPr="00022DEB">
        <w:rPr>
          <w:rFonts w:cs="Tahoma"/>
          <w:bCs/>
          <w:lang w:val="en-GB"/>
        </w:rPr>
        <w:t xml:space="preserve"> security on the ground warned that the </w:t>
      </w:r>
      <w:r w:rsidR="00FE2E44" w:rsidRPr="00022DEB">
        <w:rPr>
          <w:rFonts w:cs="Tahoma"/>
          <w:bCs/>
          <w:lang w:val="en-GB"/>
        </w:rPr>
        <w:t xml:space="preserve">fact that some of the markings are deep into territory controlled by the Georgian central government </w:t>
      </w:r>
      <w:r w:rsidR="00403634" w:rsidRPr="00022DEB">
        <w:rPr>
          <w:rFonts w:cs="Tahoma"/>
          <w:bCs/>
          <w:lang w:val="en-GB"/>
        </w:rPr>
        <w:t xml:space="preserve">increases the likelihood of </w:t>
      </w:r>
      <w:r w:rsidR="00E403C7">
        <w:rPr>
          <w:rFonts w:cs="Tahoma"/>
          <w:bCs/>
          <w:lang w:val="en-GB"/>
        </w:rPr>
        <w:t xml:space="preserve">the </w:t>
      </w:r>
      <w:r w:rsidR="00FE2E44" w:rsidRPr="00022DEB">
        <w:rPr>
          <w:rFonts w:cs="Tahoma"/>
          <w:bCs/>
          <w:lang w:val="en-GB"/>
        </w:rPr>
        <w:t>proximity of se</w:t>
      </w:r>
      <w:r w:rsidR="00403634" w:rsidRPr="00022DEB">
        <w:rPr>
          <w:rFonts w:cs="Tahoma"/>
          <w:bCs/>
          <w:lang w:val="en-GB"/>
        </w:rPr>
        <w:t xml:space="preserve">curity actors from </w:t>
      </w:r>
      <w:r w:rsidR="00E403C7">
        <w:rPr>
          <w:rFonts w:cs="Tahoma"/>
          <w:bCs/>
          <w:lang w:val="en-GB"/>
        </w:rPr>
        <w:t xml:space="preserve">the </w:t>
      </w:r>
      <w:r w:rsidR="00403634" w:rsidRPr="00022DEB">
        <w:rPr>
          <w:rFonts w:cs="Tahoma"/>
          <w:bCs/>
          <w:lang w:val="en-GB"/>
        </w:rPr>
        <w:t xml:space="preserve">opposite sides </w:t>
      </w:r>
      <w:r w:rsidR="009933A0" w:rsidRPr="00022DEB">
        <w:rPr>
          <w:rFonts w:cs="Tahoma"/>
          <w:bCs/>
          <w:lang w:val="en-GB"/>
        </w:rPr>
        <w:t>and consequently the potential for incidents</w:t>
      </w:r>
      <w:r w:rsidR="00403634" w:rsidRPr="00022DEB">
        <w:rPr>
          <w:rFonts w:cs="Tahoma"/>
          <w:bCs/>
          <w:lang w:val="en-GB"/>
        </w:rPr>
        <w:t>. The delegation was informed that the EUMM ha</w:t>
      </w:r>
      <w:r w:rsidR="005779C7">
        <w:rPr>
          <w:rFonts w:cs="Tahoma"/>
          <w:bCs/>
          <w:lang w:val="en-GB"/>
        </w:rPr>
        <w:t>d</w:t>
      </w:r>
      <w:r w:rsidR="00403634" w:rsidRPr="00022DEB">
        <w:rPr>
          <w:rFonts w:cs="Tahoma"/>
          <w:bCs/>
          <w:lang w:val="en-GB"/>
        </w:rPr>
        <w:t xml:space="preserve"> increased patrolling in the area. </w:t>
      </w:r>
      <w:r w:rsidR="00A530EA" w:rsidRPr="00022DEB">
        <w:rPr>
          <w:rFonts w:cs="Tahoma"/>
          <w:bCs/>
          <w:lang w:val="en-GB"/>
        </w:rPr>
        <w:t xml:space="preserve">The delegation’s attention was also drawn to a recent public statement of the </w:t>
      </w:r>
      <w:r w:rsidR="00A530EA" w:rsidRPr="00022DEB">
        <w:rPr>
          <w:rFonts w:cs="Tahoma"/>
          <w:bCs/>
          <w:i/>
          <w:lang w:val="en-GB"/>
        </w:rPr>
        <w:t>de facto</w:t>
      </w:r>
      <w:r w:rsidR="00A530EA" w:rsidRPr="00022DEB">
        <w:rPr>
          <w:rFonts w:cs="Tahoma"/>
          <w:bCs/>
          <w:lang w:val="en-GB"/>
        </w:rPr>
        <w:t xml:space="preserve"> Minister of Foreign Affairs of South Ossetia advancing claims to areas currently situated in the territory controlled by the Georgian central government.</w:t>
      </w:r>
    </w:p>
    <w:p w:rsidR="00E06019" w:rsidRPr="00022DEB" w:rsidRDefault="00E06019" w:rsidP="00E06019">
      <w:pPr>
        <w:pStyle w:val="ListParagraph"/>
        <w:ind w:left="0"/>
        <w:jc w:val="both"/>
        <w:rPr>
          <w:rFonts w:cs="Tahoma"/>
          <w:bCs/>
          <w:lang w:val="en-GB"/>
        </w:rPr>
      </w:pPr>
    </w:p>
    <w:p w:rsidR="00E06019" w:rsidRPr="00022DEB" w:rsidRDefault="00E06019" w:rsidP="00E06019">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The Georgian </w:t>
      </w:r>
      <w:r w:rsidR="00D7071B" w:rsidRPr="00022DEB">
        <w:rPr>
          <w:rFonts w:cs="Tahoma"/>
          <w:bCs/>
          <w:lang w:val="en-GB"/>
        </w:rPr>
        <w:t xml:space="preserve">central </w:t>
      </w:r>
      <w:r w:rsidRPr="00022DEB">
        <w:rPr>
          <w:rFonts w:cs="Tahoma"/>
          <w:bCs/>
          <w:lang w:val="en-GB"/>
        </w:rPr>
        <w:t>government</w:t>
      </w:r>
      <w:r w:rsidR="00FE2035" w:rsidRPr="00022DEB">
        <w:rPr>
          <w:rFonts w:cs="Tahoma"/>
          <w:bCs/>
          <w:lang w:val="en-GB"/>
        </w:rPr>
        <w:t xml:space="preserve"> and </w:t>
      </w:r>
      <w:r w:rsidR="009750C8" w:rsidRPr="00022DEB">
        <w:rPr>
          <w:rFonts w:cs="Tahoma"/>
          <w:bCs/>
          <w:lang w:val="en-GB"/>
        </w:rPr>
        <w:t xml:space="preserve">the </w:t>
      </w:r>
      <w:r w:rsidR="00FE2035" w:rsidRPr="00022DEB">
        <w:rPr>
          <w:rFonts w:cs="Tahoma"/>
          <w:bCs/>
          <w:lang w:val="en-GB"/>
        </w:rPr>
        <w:t xml:space="preserve">international </w:t>
      </w:r>
      <w:r w:rsidR="009750C8" w:rsidRPr="00022DEB">
        <w:rPr>
          <w:rFonts w:cs="Tahoma"/>
          <w:bCs/>
          <w:lang w:val="en-GB"/>
        </w:rPr>
        <w:t xml:space="preserve">community </w:t>
      </w:r>
      <w:r w:rsidRPr="00022DEB">
        <w:rPr>
          <w:rFonts w:cs="Tahoma"/>
          <w:bCs/>
          <w:lang w:val="en-GB"/>
        </w:rPr>
        <w:t xml:space="preserve">remain firm in </w:t>
      </w:r>
      <w:r w:rsidR="009750C8" w:rsidRPr="00022DEB">
        <w:rPr>
          <w:rFonts w:cs="Tahoma"/>
          <w:bCs/>
          <w:lang w:val="en-GB"/>
        </w:rPr>
        <w:t xml:space="preserve">their </w:t>
      </w:r>
      <w:r w:rsidRPr="00022DEB">
        <w:rPr>
          <w:rFonts w:cs="Tahoma"/>
          <w:bCs/>
          <w:lang w:val="en-GB"/>
        </w:rPr>
        <w:t>opposition to the so-called “</w:t>
      </w:r>
      <w:proofErr w:type="spellStart"/>
      <w:r w:rsidRPr="00022DEB">
        <w:rPr>
          <w:rFonts w:cs="Tahoma"/>
          <w:bCs/>
          <w:lang w:val="en-GB"/>
        </w:rPr>
        <w:t>borderisation</w:t>
      </w:r>
      <w:proofErr w:type="spellEnd"/>
      <w:r w:rsidRPr="00022DEB">
        <w:rPr>
          <w:rFonts w:cs="Tahoma"/>
          <w:bCs/>
          <w:lang w:val="en-GB"/>
        </w:rPr>
        <w:t xml:space="preserve">” activities and their impact on the local population, particularly as regards adverse effects on their </w:t>
      </w:r>
      <w:r w:rsidR="009750C8" w:rsidRPr="00022DEB">
        <w:rPr>
          <w:rFonts w:cs="Tahoma"/>
          <w:bCs/>
          <w:lang w:val="en-GB"/>
        </w:rPr>
        <w:t xml:space="preserve">freedom of movement, </w:t>
      </w:r>
      <w:r w:rsidRPr="00022DEB">
        <w:rPr>
          <w:rFonts w:cs="Tahoma"/>
          <w:bCs/>
          <w:lang w:val="en-GB"/>
        </w:rPr>
        <w:t>livelihood and security perceptions. The issue is regularly raised in the Geneva and IPRM formats.</w:t>
      </w:r>
    </w:p>
    <w:p w:rsidR="00E06019" w:rsidRPr="00022DEB" w:rsidRDefault="00E06019" w:rsidP="00E06019">
      <w:pPr>
        <w:pStyle w:val="ListParagraph"/>
        <w:ind w:left="0"/>
        <w:jc w:val="both"/>
        <w:rPr>
          <w:rFonts w:cs="Tahoma"/>
          <w:bCs/>
          <w:lang w:val="en-GB"/>
        </w:rPr>
      </w:pPr>
    </w:p>
    <w:p w:rsidR="00D12342" w:rsidRPr="00022DEB" w:rsidRDefault="00413DD9" w:rsidP="00D12342">
      <w:pPr>
        <w:pStyle w:val="ListParagraph"/>
        <w:numPr>
          <w:ilvl w:val="0"/>
          <w:numId w:val="5"/>
        </w:numPr>
        <w:tabs>
          <w:tab w:val="clear" w:pos="360"/>
          <w:tab w:val="num" w:pos="0"/>
        </w:tabs>
        <w:ind w:left="0" w:firstLine="0"/>
        <w:jc w:val="both"/>
        <w:rPr>
          <w:rFonts w:cs="Tahoma"/>
          <w:bCs/>
          <w:lang w:val="en-GB"/>
        </w:rPr>
      </w:pPr>
      <w:r w:rsidRPr="00022DEB">
        <w:rPr>
          <w:lang w:val="en-GB"/>
        </w:rPr>
        <w:t xml:space="preserve">The large majority of </w:t>
      </w:r>
      <w:r w:rsidR="009933A0" w:rsidRPr="00022DEB">
        <w:rPr>
          <w:lang w:val="en-GB"/>
        </w:rPr>
        <w:t>ethnic Georgians</w:t>
      </w:r>
      <w:r w:rsidRPr="00022DEB">
        <w:rPr>
          <w:lang w:val="en-GB"/>
        </w:rPr>
        <w:t xml:space="preserve"> who cross the ABL with South Ossetia continue to do so through the </w:t>
      </w:r>
      <w:proofErr w:type="spellStart"/>
      <w:r w:rsidR="00DD49FF" w:rsidRPr="00022DEB">
        <w:rPr>
          <w:lang w:val="en-GB"/>
        </w:rPr>
        <w:t>Odzisi</w:t>
      </w:r>
      <w:proofErr w:type="spellEnd"/>
      <w:r w:rsidR="00DD49FF" w:rsidRPr="00022DEB">
        <w:rPr>
          <w:lang w:val="en-GB"/>
        </w:rPr>
        <w:t>/</w:t>
      </w:r>
      <w:proofErr w:type="spellStart"/>
      <w:r w:rsidR="00DD49FF" w:rsidRPr="00022DEB">
        <w:rPr>
          <w:lang w:val="en-GB"/>
        </w:rPr>
        <w:t>Mosabruni</w:t>
      </w:r>
      <w:proofErr w:type="spellEnd"/>
      <w:r w:rsidR="00DD49FF" w:rsidRPr="00022DEB">
        <w:rPr>
          <w:lang w:val="en-GB"/>
        </w:rPr>
        <w:t xml:space="preserve"> </w:t>
      </w:r>
      <w:r w:rsidR="009933A0" w:rsidRPr="00022DEB">
        <w:rPr>
          <w:lang w:val="en-GB"/>
        </w:rPr>
        <w:t xml:space="preserve">point to </w:t>
      </w:r>
      <w:r w:rsidR="005779C7">
        <w:rPr>
          <w:lang w:val="en-GB"/>
        </w:rPr>
        <w:t xml:space="preserve">the district of </w:t>
      </w:r>
      <w:proofErr w:type="spellStart"/>
      <w:r w:rsidR="009933A0" w:rsidRPr="00022DEB">
        <w:rPr>
          <w:lang w:val="en-GB"/>
        </w:rPr>
        <w:t>Akhalgori</w:t>
      </w:r>
      <w:proofErr w:type="spellEnd"/>
      <w:r w:rsidR="009933A0" w:rsidRPr="00022DEB">
        <w:rPr>
          <w:lang w:val="en-GB"/>
        </w:rPr>
        <w:t xml:space="preserve">, from which they were displaced </w:t>
      </w:r>
      <w:r w:rsidRPr="00022DEB">
        <w:rPr>
          <w:lang w:val="en-GB"/>
        </w:rPr>
        <w:t>following</w:t>
      </w:r>
      <w:r w:rsidR="00DD49FF" w:rsidRPr="00022DEB">
        <w:rPr>
          <w:lang w:val="en-GB"/>
        </w:rPr>
        <w:t xml:space="preserve"> the 2008 conflict. </w:t>
      </w:r>
      <w:r w:rsidR="00CB5B0E" w:rsidRPr="00022DEB">
        <w:rPr>
          <w:rFonts w:cs="Tahoma"/>
          <w:bCs/>
          <w:lang w:val="en-GB"/>
        </w:rPr>
        <w:t xml:space="preserve">An aggravating </w:t>
      </w:r>
      <w:r w:rsidR="00DD49FF" w:rsidRPr="00022DEB">
        <w:rPr>
          <w:rFonts w:cs="Tahoma"/>
          <w:bCs/>
          <w:lang w:val="en-GB"/>
        </w:rPr>
        <w:t xml:space="preserve">development </w:t>
      </w:r>
      <w:r w:rsidR="00CB5B0E" w:rsidRPr="00022DEB">
        <w:rPr>
          <w:rFonts w:cs="Tahoma"/>
          <w:bCs/>
          <w:lang w:val="en-GB"/>
        </w:rPr>
        <w:t>as regards</w:t>
      </w:r>
      <w:r w:rsidR="00AD708D" w:rsidRPr="00022DEB">
        <w:rPr>
          <w:rFonts w:cs="Tahoma"/>
          <w:bCs/>
          <w:lang w:val="en-GB"/>
        </w:rPr>
        <w:t xml:space="preserve"> freedom of movement </w:t>
      </w:r>
      <w:r w:rsidR="00904474">
        <w:rPr>
          <w:rFonts w:cs="Tahoma"/>
          <w:bCs/>
          <w:lang w:val="en-GB"/>
        </w:rPr>
        <w:t>was reported as</w:t>
      </w:r>
      <w:r w:rsidR="00347371" w:rsidRPr="00022DEB">
        <w:rPr>
          <w:rFonts w:cs="Tahoma"/>
          <w:bCs/>
          <w:lang w:val="en-GB"/>
        </w:rPr>
        <w:t xml:space="preserve"> </w:t>
      </w:r>
      <w:r w:rsidR="00C94B50" w:rsidRPr="00022DEB">
        <w:rPr>
          <w:rFonts w:cs="Tahoma"/>
          <w:bCs/>
          <w:lang w:val="en-GB"/>
        </w:rPr>
        <w:t>o</w:t>
      </w:r>
      <w:r w:rsidR="00904474">
        <w:rPr>
          <w:rFonts w:cs="Tahoma"/>
          <w:bCs/>
          <w:lang w:val="en-GB"/>
        </w:rPr>
        <w:t>f</w:t>
      </w:r>
      <w:r w:rsidR="00C94B50" w:rsidRPr="00022DEB">
        <w:rPr>
          <w:rFonts w:cs="Tahoma"/>
          <w:bCs/>
          <w:lang w:val="en-GB"/>
        </w:rPr>
        <w:t xml:space="preserve"> 12 January </w:t>
      </w:r>
      <w:r w:rsidR="00347371" w:rsidRPr="00022DEB">
        <w:rPr>
          <w:rFonts w:cs="Tahoma"/>
          <w:bCs/>
          <w:lang w:val="en-GB"/>
        </w:rPr>
        <w:t xml:space="preserve">when </w:t>
      </w:r>
      <w:r w:rsidR="00DD49FF" w:rsidRPr="00022DEB">
        <w:rPr>
          <w:rFonts w:cs="Tahoma"/>
          <w:bCs/>
          <w:lang w:val="en-GB"/>
        </w:rPr>
        <w:t xml:space="preserve">the </w:t>
      </w:r>
      <w:r w:rsidR="00DD49FF" w:rsidRPr="00022DEB">
        <w:rPr>
          <w:rFonts w:cs="Tahoma"/>
          <w:bCs/>
          <w:i/>
          <w:lang w:val="en-GB"/>
        </w:rPr>
        <w:t>de facto</w:t>
      </w:r>
      <w:r w:rsidR="009933A0" w:rsidRPr="00022DEB">
        <w:rPr>
          <w:rFonts w:cs="Tahoma"/>
          <w:bCs/>
          <w:lang w:val="en-GB"/>
        </w:rPr>
        <w:t xml:space="preserve"> authorities </w:t>
      </w:r>
      <w:r w:rsidR="00CA3209" w:rsidRPr="00022DEB">
        <w:rPr>
          <w:rFonts w:cs="Tahoma"/>
          <w:bCs/>
          <w:lang w:val="en-GB"/>
        </w:rPr>
        <w:t>ordered the</w:t>
      </w:r>
      <w:r w:rsidR="002329AA" w:rsidRPr="00022DEB">
        <w:rPr>
          <w:rFonts w:cs="Tahoma"/>
          <w:bCs/>
          <w:lang w:val="en-GB"/>
        </w:rPr>
        <w:t xml:space="preserve"> closure of the ABL </w:t>
      </w:r>
      <w:r w:rsidR="00A530EA" w:rsidRPr="00022DEB">
        <w:rPr>
          <w:rFonts w:cs="Tahoma"/>
          <w:bCs/>
          <w:lang w:val="en-GB"/>
        </w:rPr>
        <w:t xml:space="preserve">allegedly </w:t>
      </w:r>
      <w:r w:rsidR="002329AA" w:rsidRPr="00022DEB">
        <w:rPr>
          <w:rFonts w:cs="Tahoma"/>
          <w:bCs/>
          <w:lang w:val="en-GB"/>
        </w:rPr>
        <w:t xml:space="preserve">to </w:t>
      </w:r>
      <w:r w:rsidR="007A7428" w:rsidRPr="00022DEB">
        <w:rPr>
          <w:rFonts w:cs="Tahoma"/>
          <w:bCs/>
          <w:lang w:val="en-GB"/>
        </w:rPr>
        <w:t>prevent the</w:t>
      </w:r>
      <w:r w:rsidR="00347371" w:rsidRPr="00022DEB">
        <w:rPr>
          <w:rFonts w:cs="Tahoma"/>
          <w:bCs/>
          <w:lang w:val="en-GB"/>
        </w:rPr>
        <w:t xml:space="preserve"> spread of H1N1</w:t>
      </w:r>
      <w:r w:rsidR="007D3862">
        <w:rPr>
          <w:rFonts w:cs="Tahoma"/>
          <w:bCs/>
          <w:lang w:val="en-GB"/>
        </w:rPr>
        <w:t xml:space="preserve"> </w:t>
      </w:r>
      <w:r w:rsidR="007D3862" w:rsidRPr="007D3862">
        <w:rPr>
          <w:rFonts w:cs="Tahoma"/>
          <w:bCs/>
          <w:lang w:val="en-GB"/>
        </w:rPr>
        <w:t>(swine flu) virus cases from territories controlled by the central government of Georgia</w:t>
      </w:r>
      <w:r w:rsidR="00A37A06" w:rsidRPr="00022DEB">
        <w:rPr>
          <w:rFonts w:cs="Tahoma"/>
          <w:bCs/>
          <w:lang w:val="en-GB"/>
        </w:rPr>
        <w:t xml:space="preserve">. The measure </w:t>
      </w:r>
      <w:r w:rsidR="00AC0E76" w:rsidRPr="00022DEB">
        <w:rPr>
          <w:rFonts w:cs="Tahoma"/>
          <w:bCs/>
          <w:lang w:val="en-GB"/>
        </w:rPr>
        <w:t>remain</w:t>
      </w:r>
      <w:r w:rsidR="00904474">
        <w:rPr>
          <w:rFonts w:cs="Tahoma"/>
          <w:bCs/>
          <w:lang w:val="en-GB"/>
        </w:rPr>
        <w:t>ed</w:t>
      </w:r>
      <w:r w:rsidR="00AC0E76" w:rsidRPr="00022DEB">
        <w:rPr>
          <w:rFonts w:cs="Tahoma"/>
          <w:bCs/>
          <w:lang w:val="en-GB"/>
        </w:rPr>
        <w:t xml:space="preserve"> in force</w:t>
      </w:r>
      <w:r w:rsidR="00A37A06" w:rsidRPr="00022DEB">
        <w:rPr>
          <w:rFonts w:cs="Tahoma"/>
          <w:bCs/>
          <w:lang w:val="en-GB"/>
        </w:rPr>
        <w:t xml:space="preserve"> until 15</w:t>
      </w:r>
      <w:r w:rsidR="00AC1DCB" w:rsidRPr="00022DEB">
        <w:rPr>
          <w:rFonts w:cs="Tahoma"/>
          <w:bCs/>
          <w:lang w:val="en-GB"/>
        </w:rPr>
        <w:t xml:space="preserve"> March</w:t>
      </w:r>
      <w:r w:rsidRPr="00022DEB">
        <w:rPr>
          <w:rFonts w:cs="Tahoma"/>
          <w:bCs/>
          <w:lang w:val="en-GB"/>
        </w:rPr>
        <w:t xml:space="preserve">. </w:t>
      </w:r>
      <w:r w:rsidR="007D3862">
        <w:rPr>
          <w:rFonts w:cs="Tahoma"/>
          <w:bCs/>
          <w:lang w:val="en-GB"/>
        </w:rPr>
        <w:t>While</w:t>
      </w:r>
      <w:r w:rsidR="007D3862" w:rsidRPr="00022DEB">
        <w:rPr>
          <w:rFonts w:cs="Tahoma"/>
          <w:bCs/>
          <w:lang w:val="en-GB"/>
        </w:rPr>
        <w:t xml:space="preserve"> </w:t>
      </w:r>
      <w:r w:rsidR="00D84D87">
        <w:rPr>
          <w:rFonts w:cs="Tahoma"/>
          <w:bCs/>
          <w:lang w:val="en-GB"/>
        </w:rPr>
        <w:t xml:space="preserve">most interlocutors in Tbilisi maintained that the </w:t>
      </w:r>
      <w:r w:rsidR="00D84D87" w:rsidRPr="00022DEB">
        <w:rPr>
          <w:rFonts w:cs="Tahoma"/>
          <w:bCs/>
          <w:lang w:val="en-GB"/>
        </w:rPr>
        <w:t xml:space="preserve">public health risk </w:t>
      </w:r>
      <w:r w:rsidR="00D84D87">
        <w:rPr>
          <w:rFonts w:cs="Tahoma"/>
          <w:bCs/>
          <w:lang w:val="en-GB"/>
        </w:rPr>
        <w:t xml:space="preserve">was likely </w:t>
      </w:r>
      <w:proofErr w:type="gramStart"/>
      <w:r w:rsidR="00D84D87">
        <w:rPr>
          <w:rFonts w:cs="Tahoma"/>
          <w:bCs/>
          <w:lang w:val="en-GB"/>
        </w:rPr>
        <w:t>overstated ,</w:t>
      </w:r>
      <w:proofErr w:type="gramEnd"/>
      <w:r w:rsidR="00D84D87">
        <w:rPr>
          <w:rFonts w:cs="Tahoma"/>
          <w:bCs/>
          <w:lang w:val="en-GB"/>
        </w:rPr>
        <w:t xml:space="preserve"> referring also to </w:t>
      </w:r>
      <w:r w:rsidR="001A4C94" w:rsidRPr="00022DEB">
        <w:rPr>
          <w:rFonts w:cs="Tahoma"/>
          <w:bCs/>
          <w:lang w:val="en-GB"/>
        </w:rPr>
        <w:t>specialised</w:t>
      </w:r>
      <w:r w:rsidR="004F195B" w:rsidRPr="00022DEB">
        <w:rPr>
          <w:rFonts w:cs="Tahoma"/>
          <w:bCs/>
          <w:lang w:val="en-GB"/>
        </w:rPr>
        <w:t xml:space="preserve"> international i</w:t>
      </w:r>
      <w:r w:rsidR="00232E80" w:rsidRPr="00022DEB">
        <w:rPr>
          <w:rFonts w:cs="Tahoma"/>
          <w:bCs/>
          <w:lang w:val="en-GB"/>
        </w:rPr>
        <w:t>nstitutions</w:t>
      </w:r>
      <w:r w:rsidR="001A4C94" w:rsidRPr="00022DEB">
        <w:rPr>
          <w:rFonts w:cs="Tahoma"/>
          <w:bCs/>
          <w:lang w:val="en-GB"/>
        </w:rPr>
        <w:t>’ assessments</w:t>
      </w:r>
      <w:r w:rsidR="00AC0E76" w:rsidRPr="00022DEB">
        <w:rPr>
          <w:rFonts w:cs="Tahoma"/>
          <w:bCs/>
          <w:lang w:val="en-GB"/>
        </w:rPr>
        <w:t xml:space="preserve">, </w:t>
      </w:r>
      <w:r w:rsidR="004F195B" w:rsidRPr="00022DEB">
        <w:rPr>
          <w:rFonts w:cs="Tahoma"/>
          <w:bCs/>
          <w:lang w:val="en-GB"/>
        </w:rPr>
        <w:t xml:space="preserve">some </w:t>
      </w:r>
      <w:r w:rsidR="00D84D87">
        <w:rPr>
          <w:rFonts w:cs="Tahoma"/>
          <w:bCs/>
          <w:lang w:val="en-GB"/>
        </w:rPr>
        <w:t>of them</w:t>
      </w:r>
      <w:r w:rsidR="002329AA" w:rsidRPr="00022DEB">
        <w:rPr>
          <w:rFonts w:cs="Tahoma"/>
          <w:bCs/>
          <w:lang w:val="en-GB"/>
        </w:rPr>
        <w:t xml:space="preserve"> </w:t>
      </w:r>
      <w:r w:rsidR="00D84D87">
        <w:rPr>
          <w:rFonts w:cs="Tahoma"/>
          <w:bCs/>
          <w:lang w:val="en-GB"/>
        </w:rPr>
        <w:t xml:space="preserve">also </w:t>
      </w:r>
      <w:r w:rsidR="00C94B50" w:rsidRPr="00022DEB">
        <w:rPr>
          <w:rFonts w:cs="Tahoma"/>
          <w:bCs/>
          <w:lang w:val="en-GB"/>
        </w:rPr>
        <w:t>questioned whether the health</w:t>
      </w:r>
      <w:r w:rsidR="005779C7">
        <w:rPr>
          <w:rFonts w:cs="Tahoma"/>
          <w:bCs/>
          <w:lang w:val="en-GB"/>
        </w:rPr>
        <w:t xml:space="preserve"> </w:t>
      </w:r>
      <w:r w:rsidR="00C94B50" w:rsidRPr="00022DEB">
        <w:rPr>
          <w:rFonts w:cs="Tahoma"/>
          <w:bCs/>
          <w:lang w:val="en-GB"/>
        </w:rPr>
        <w:t xml:space="preserve">care capacities </w:t>
      </w:r>
      <w:r w:rsidR="00AC0E76" w:rsidRPr="00022DEB">
        <w:rPr>
          <w:rFonts w:cs="Tahoma"/>
          <w:bCs/>
          <w:lang w:val="en-GB"/>
        </w:rPr>
        <w:t xml:space="preserve">of South Ossetia </w:t>
      </w:r>
      <w:r w:rsidR="00C94B50" w:rsidRPr="00022DEB">
        <w:rPr>
          <w:rFonts w:cs="Tahoma"/>
          <w:bCs/>
          <w:lang w:val="en-GB"/>
        </w:rPr>
        <w:t>could cope with the situation</w:t>
      </w:r>
      <w:r w:rsidR="00AC1DCB" w:rsidRPr="00022DEB">
        <w:rPr>
          <w:rFonts w:cs="Tahoma"/>
          <w:bCs/>
          <w:lang w:val="en-GB"/>
        </w:rPr>
        <w:t xml:space="preserve">. </w:t>
      </w:r>
      <w:r w:rsidR="00E6344E" w:rsidRPr="00022DEB">
        <w:rPr>
          <w:rFonts w:cs="Tahoma"/>
          <w:bCs/>
          <w:lang w:val="en-GB"/>
        </w:rPr>
        <w:t>It</w:t>
      </w:r>
      <w:r w:rsidR="00AD708D" w:rsidRPr="00022DEB">
        <w:rPr>
          <w:rFonts w:cs="Tahoma"/>
          <w:bCs/>
          <w:lang w:val="en-GB"/>
        </w:rPr>
        <w:t xml:space="preserve"> was </w:t>
      </w:r>
      <w:r w:rsidR="00514D9E" w:rsidRPr="00022DEB">
        <w:rPr>
          <w:rFonts w:cs="Tahoma"/>
          <w:bCs/>
          <w:lang w:val="en-GB"/>
        </w:rPr>
        <w:t xml:space="preserve">also </w:t>
      </w:r>
      <w:r w:rsidR="00AD708D" w:rsidRPr="00022DEB">
        <w:rPr>
          <w:rFonts w:cs="Tahoma"/>
          <w:bCs/>
          <w:lang w:val="en-GB"/>
        </w:rPr>
        <w:t>rep</w:t>
      </w:r>
      <w:r w:rsidR="00E6344E" w:rsidRPr="00022DEB">
        <w:rPr>
          <w:rFonts w:cs="Tahoma"/>
          <w:bCs/>
          <w:lang w:val="en-GB"/>
        </w:rPr>
        <w:t xml:space="preserve">orted to the delegation that as a result </w:t>
      </w:r>
      <w:r w:rsidR="002329AA" w:rsidRPr="00022DEB">
        <w:rPr>
          <w:rFonts w:cs="Tahoma"/>
          <w:bCs/>
          <w:lang w:val="en-GB"/>
        </w:rPr>
        <w:t xml:space="preserve">of </w:t>
      </w:r>
      <w:r w:rsidR="00C94B50" w:rsidRPr="00022DEB">
        <w:rPr>
          <w:rFonts w:cs="Tahoma"/>
          <w:bCs/>
          <w:lang w:val="en-GB"/>
        </w:rPr>
        <w:t>restrictions</w:t>
      </w:r>
      <w:r w:rsidR="002329AA" w:rsidRPr="00022DEB">
        <w:rPr>
          <w:rFonts w:cs="Tahoma"/>
          <w:bCs/>
          <w:lang w:val="en-GB"/>
        </w:rPr>
        <w:t xml:space="preserve">, </w:t>
      </w:r>
      <w:r w:rsidR="00514D9E" w:rsidRPr="00022DEB">
        <w:rPr>
          <w:rFonts w:cs="Tahoma"/>
          <w:bCs/>
          <w:lang w:val="en-GB"/>
        </w:rPr>
        <w:t xml:space="preserve">the </w:t>
      </w:r>
      <w:r w:rsidR="00C94B50" w:rsidRPr="00022DEB">
        <w:rPr>
          <w:rFonts w:cs="Tahoma"/>
          <w:bCs/>
          <w:lang w:val="en-GB"/>
        </w:rPr>
        <w:t xml:space="preserve">ethnic Georgian </w:t>
      </w:r>
      <w:r w:rsidR="00514D9E" w:rsidRPr="00022DEB">
        <w:rPr>
          <w:rFonts w:cs="Tahoma"/>
          <w:bCs/>
          <w:lang w:val="en-GB"/>
        </w:rPr>
        <w:t xml:space="preserve">population </w:t>
      </w:r>
      <w:r w:rsidR="00C94B50" w:rsidRPr="00022DEB">
        <w:rPr>
          <w:rFonts w:cs="Tahoma"/>
          <w:bCs/>
          <w:lang w:val="en-GB"/>
        </w:rPr>
        <w:t xml:space="preserve">in </w:t>
      </w:r>
      <w:proofErr w:type="spellStart"/>
      <w:r w:rsidR="00E6344E" w:rsidRPr="00022DEB">
        <w:rPr>
          <w:rFonts w:cs="Tahoma"/>
          <w:bCs/>
          <w:lang w:val="en-GB"/>
        </w:rPr>
        <w:t>Akhalgori</w:t>
      </w:r>
      <w:proofErr w:type="spellEnd"/>
      <w:r w:rsidR="00E6344E" w:rsidRPr="00022DEB">
        <w:rPr>
          <w:rFonts w:cs="Tahoma"/>
          <w:bCs/>
          <w:lang w:val="en-GB"/>
        </w:rPr>
        <w:t xml:space="preserve"> </w:t>
      </w:r>
      <w:r w:rsidR="00514D9E" w:rsidRPr="00022DEB">
        <w:rPr>
          <w:rFonts w:cs="Tahoma"/>
          <w:bCs/>
          <w:lang w:val="en-GB"/>
        </w:rPr>
        <w:t xml:space="preserve">was </w:t>
      </w:r>
      <w:r w:rsidR="00E6344E" w:rsidRPr="00022DEB">
        <w:rPr>
          <w:rFonts w:cs="Tahoma"/>
          <w:bCs/>
          <w:lang w:val="en-GB"/>
        </w:rPr>
        <w:t xml:space="preserve">faced </w:t>
      </w:r>
      <w:r w:rsidR="00514D9E" w:rsidRPr="00022DEB">
        <w:rPr>
          <w:rFonts w:cs="Tahoma"/>
          <w:bCs/>
          <w:lang w:val="en-GB"/>
        </w:rPr>
        <w:t xml:space="preserve">with a sharp </w:t>
      </w:r>
      <w:r w:rsidR="00E6344E" w:rsidRPr="00022DEB">
        <w:rPr>
          <w:rFonts w:cs="Tahoma"/>
          <w:bCs/>
          <w:lang w:val="en-GB"/>
        </w:rPr>
        <w:t>reduction in the supply of</w:t>
      </w:r>
      <w:r w:rsidR="00CA3209" w:rsidRPr="00022DEB">
        <w:rPr>
          <w:rFonts w:cs="Tahoma"/>
          <w:bCs/>
          <w:lang w:val="en-GB"/>
        </w:rPr>
        <w:t xml:space="preserve"> food,</w:t>
      </w:r>
      <w:r w:rsidR="00E6344E" w:rsidRPr="00022DEB">
        <w:rPr>
          <w:rFonts w:cs="Tahoma"/>
          <w:bCs/>
          <w:lang w:val="en-GB"/>
        </w:rPr>
        <w:t xml:space="preserve"> medicine</w:t>
      </w:r>
      <w:r w:rsidR="00CA3209" w:rsidRPr="00022DEB">
        <w:rPr>
          <w:rFonts w:cs="Tahoma"/>
          <w:bCs/>
          <w:lang w:val="en-GB"/>
        </w:rPr>
        <w:t xml:space="preserve"> and other goods</w:t>
      </w:r>
      <w:r w:rsidR="00E6344E" w:rsidRPr="00022DEB">
        <w:rPr>
          <w:rFonts w:cs="Tahoma"/>
          <w:bCs/>
          <w:lang w:val="en-GB"/>
        </w:rPr>
        <w:t xml:space="preserve">, </w:t>
      </w:r>
      <w:r w:rsidR="00CB5B0E" w:rsidRPr="00022DEB">
        <w:rPr>
          <w:rFonts w:cs="Tahoma"/>
          <w:bCs/>
          <w:lang w:val="en-GB"/>
        </w:rPr>
        <w:t xml:space="preserve">compounded </w:t>
      </w:r>
      <w:r w:rsidR="00E6344E" w:rsidRPr="00022DEB">
        <w:rPr>
          <w:rFonts w:cs="Tahoma"/>
          <w:bCs/>
          <w:lang w:val="en-GB"/>
        </w:rPr>
        <w:t xml:space="preserve">also </w:t>
      </w:r>
      <w:r w:rsidR="00CB5B0E" w:rsidRPr="00022DEB">
        <w:rPr>
          <w:rFonts w:cs="Tahoma"/>
          <w:bCs/>
          <w:lang w:val="en-GB"/>
        </w:rPr>
        <w:t xml:space="preserve">by the region’s </w:t>
      </w:r>
      <w:r w:rsidR="00D35D24" w:rsidRPr="00022DEB">
        <w:rPr>
          <w:rFonts w:cs="Tahoma"/>
          <w:bCs/>
          <w:lang w:val="en-GB"/>
        </w:rPr>
        <w:t>com</w:t>
      </w:r>
      <w:r w:rsidR="00CB5B0E" w:rsidRPr="00022DEB">
        <w:rPr>
          <w:rFonts w:cs="Tahoma"/>
          <w:bCs/>
          <w:lang w:val="en-GB"/>
        </w:rPr>
        <w:t>plicated transport connection to Tskhinvali</w:t>
      </w:r>
      <w:r w:rsidR="003059B6" w:rsidRPr="00022DEB">
        <w:rPr>
          <w:rFonts w:cs="Tahoma"/>
          <w:bCs/>
          <w:lang w:val="en-GB"/>
        </w:rPr>
        <w:t xml:space="preserve"> and lack of access for international humanitarian organisations</w:t>
      </w:r>
      <w:r w:rsidR="00CB5B0E" w:rsidRPr="00022DEB">
        <w:rPr>
          <w:rFonts w:cs="Tahoma"/>
          <w:bCs/>
          <w:lang w:val="en-GB"/>
        </w:rPr>
        <w:t>. A</w:t>
      </w:r>
      <w:r w:rsidR="00D35D24" w:rsidRPr="00022DEB">
        <w:rPr>
          <w:rFonts w:cs="Tahoma"/>
          <w:bCs/>
          <w:lang w:val="en-GB"/>
        </w:rPr>
        <w:t xml:space="preserve">ccess to education and livelihoods </w:t>
      </w:r>
      <w:r w:rsidR="00C94B50" w:rsidRPr="00022DEB">
        <w:rPr>
          <w:rFonts w:cs="Tahoma"/>
          <w:bCs/>
          <w:lang w:val="en-GB"/>
        </w:rPr>
        <w:t>for teachers and nurses</w:t>
      </w:r>
      <w:r w:rsidR="00CB5B0E" w:rsidRPr="00022DEB">
        <w:rPr>
          <w:rFonts w:cs="Tahoma"/>
          <w:bCs/>
          <w:lang w:val="en-GB"/>
        </w:rPr>
        <w:t xml:space="preserve"> stranded on the opposite side of the ABL as well as people</w:t>
      </w:r>
      <w:r w:rsidR="005779C7">
        <w:rPr>
          <w:rFonts w:cs="Tahoma"/>
          <w:bCs/>
          <w:lang w:val="en-GB"/>
        </w:rPr>
        <w:t>-</w:t>
      </w:r>
      <w:r w:rsidR="00CB5B0E" w:rsidRPr="00022DEB">
        <w:rPr>
          <w:rFonts w:cs="Tahoma"/>
          <w:bCs/>
          <w:lang w:val="en-GB"/>
        </w:rPr>
        <w:t>to</w:t>
      </w:r>
      <w:r w:rsidR="005779C7">
        <w:rPr>
          <w:rFonts w:cs="Tahoma"/>
          <w:bCs/>
          <w:lang w:val="en-GB"/>
        </w:rPr>
        <w:t>-</w:t>
      </w:r>
      <w:r w:rsidR="00D03805" w:rsidRPr="00022DEB">
        <w:rPr>
          <w:rFonts w:cs="Tahoma"/>
          <w:bCs/>
          <w:lang w:val="en-GB"/>
        </w:rPr>
        <w:t>people links</w:t>
      </w:r>
      <w:r w:rsidR="00CB5B0E" w:rsidRPr="00022DEB">
        <w:rPr>
          <w:rFonts w:cs="Tahoma"/>
          <w:bCs/>
          <w:lang w:val="en-GB"/>
        </w:rPr>
        <w:t xml:space="preserve"> were also reportedly </w:t>
      </w:r>
      <w:r w:rsidR="00C94B50" w:rsidRPr="00022DEB">
        <w:rPr>
          <w:rFonts w:cs="Tahoma"/>
          <w:bCs/>
          <w:lang w:val="en-GB"/>
        </w:rPr>
        <w:t xml:space="preserve">considerably </w:t>
      </w:r>
      <w:r w:rsidR="00E6344E" w:rsidRPr="00022DEB">
        <w:rPr>
          <w:rFonts w:cs="Tahoma"/>
          <w:bCs/>
          <w:lang w:val="en-GB"/>
        </w:rPr>
        <w:t xml:space="preserve">affected. </w:t>
      </w:r>
      <w:r w:rsidR="00D03805" w:rsidRPr="00022DEB">
        <w:rPr>
          <w:rFonts w:cs="Tahoma"/>
          <w:bCs/>
          <w:lang w:val="en-GB"/>
        </w:rPr>
        <w:t xml:space="preserve">In meetings with the delegation, representatives of the Georgian government denounced </w:t>
      </w:r>
      <w:r w:rsidR="00C94B50" w:rsidRPr="00022DEB">
        <w:rPr>
          <w:rFonts w:cs="Tahoma"/>
          <w:bCs/>
          <w:lang w:val="en-GB"/>
        </w:rPr>
        <w:t>the restrictions</w:t>
      </w:r>
      <w:r w:rsidR="00D03805" w:rsidRPr="00022DEB">
        <w:rPr>
          <w:rFonts w:cs="Tahoma"/>
          <w:bCs/>
          <w:lang w:val="en-GB"/>
        </w:rPr>
        <w:t xml:space="preserve"> in the strongest terms</w:t>
      </w:r>
      <w:r w:rsidR="00514D9E" w:rsidRPr="00022DEB">
        <w:rPr>
          <w:rFonts w:cs="Tahoma"/>
          <w:bCs/>
          <w:lang w:val="en-GB"/>
        </w:rPr>
        <w:t xml:space="preserve"> and called for the</w:t>
      </w:r>
      <w:r w:rsidR="00C94B50" w:rsidRPr="00022DEB">
        <w:rPr>
          <w:rFonts w:cs="Tahoma"/>
          <w:bCs/>
          <w:lang w:val="en-GB"/>
        </w:rPr>
        <w:t>m</w:t>
      </w:r>
      <w:r w:rsidR="00514D9E" w:rsidRPr="00022DEB">
        <w:rPr>
          <w:rFonts w:cs="Tahoma"/>
          <w:bCs/>
          <w:lang w:val="en-GB"/>
        </w:rPr>
        <w:t xml:space="preserve"> to be lifted</w:t>
      </w:r>
      <w:r w:rsidR="00C94B50" w:rsidRPr="00022DEB">
        <w:rPr>
          <w:rFonts w:cs="Tahoma"/>
          <w:bCs/>
          <w:lang w:val="en-GB"/>
        </w:rPr>
        <w:t xml:space="preserve"> as a matter of urgency</w:t>
      </w:r>
      <w:r w:rsidR="004F195B" w:rsidRPr="00022DEB">
        <w:rPr>
          <w:rFonts w:cs="Tahoma"/>
          <w:bCs/>
          <w:lang w:val="en-GB"/>
        </w:rPr>
        <w:t xml:space="preserve">. </w:t>
      </w:r>
    </w:p>
    <w:p w:rsidR="00DD49FF" w:rsidRPr="00022DEB" w:rsidRDefault="00DD49FF" w:rsidP="00D35D24">
      <w:pPr>
        <w:pStyle w:val="ListParagraph"/>
        <w:ind w:left="0"/>
        <w:jc w:val="both"/>
        <w:rPr>
          <w:rFonts w:cs="Tahoma"/>
          <w:bCs/>
          <w:lang w:val="en-GB"/>
        </w:rPr>
      </w:pPr>
    </w:p>
    <w:p w:rsidR="004F195B" w:rsidRPr="00022DEB" w:rsidRDefault="00D03805" w:rsidP="004F195B">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lastRenderedPageBreak/>
        <w:t>Generally, a</w:t>
      </w:r>
      <w:r w:rsidR="00E06019" w:rsidRPr="00022DEB">
        <w:rPr>
          <w:rFonts w:cs="Tahoma"/>
          <w:bCs/>
          <w:lang w:val="en-GB"/>
        </w:rPr>
        <w:t xml:space="preserve">lleged violations of the “border” regime by the local population keep resulting in short-term </w:t>
      </w:r>
      <w:r w:rsidR="009C0CF1" w:rsidRPr="00022DEB">
        <w:rPr>
          <w:rFonts w:cs="Tahoma"/>
          <w:bCs/>
          <w:lang w:val="en-GB"/>
        </w:rPr>
        <w:t>“</w:t>
      </w:r>
      <w:r w:rsidR="00E06019" w:rsidRPr="00022DEB">
        <w:rPr>
          <w:rFonts w:cs="Tahoma"/>
          <w:bCs/>
          <w:lang w:val="en-GB"/>
        </w:rPr>
        <w:t>detentions</w:t>
      </w:r>
      <w:r w:rsidR="009C0CF1" w:rsidRPr="00022DEB">
        <w:rPr>
          <w:rFonts w:cs="Tahoma"/>
          <w:bCs/>
          <w:lang w:val="en-GB"/>
        </w:rPr>
        <w:t>”</w:t>
      </w:r>
      <w:r w:rsidR="00CA3209" w:rsidRPr="00022DEB">
        <w:rPr>
          <w:rFonts w:cs="Tahoma"/>
          <w:bCs/>
          <w:lang w:val="en-GB"/>
        </w:rPr>
        <w:t xml:space="preserve"> raising major issues from a humanitarian and human rights perspective</w:t>
      </w:r>
      <w:r w:rsidR="00E06019" w:rsidRPr="00022DEB">
        <w:rPr>
          <w:rFonts w:cs="Tahoma"/>
          <w:bCs/>
          <w:lang w:val="en-GB"/>
        </w:rPr>
        <w:t xml:space="preserve">. </w:t>
      </w:r>
      <w:r w:rsidR="00AC1DCB" w:rsidRPr="00022DEB">
        <w:rPr>
          <w:rFonts w:cs="Tahoma"/>
          <w:bCs/>
          <w:lang w:val="en-GB"/>
        </w:rPr>
        <w:t xml:space="preserve">Those detained are normally released after paying a </w:t>
      </w:r>
      <w:r w:rsidR="009C0CF1" w:rsidRPr="00022DEB">
        <w:rPr>
          <w:rFonts w:cs="Tahoma"/>
          <w:bCs/>
          <w:lang w:val="en-GB"/>
        </w:rPr>
        <w:t>“</w:t>
      </w:r>
      <w:r w:rsidR="00AC1DCB" w:rsidRPr="00022DEB">
        <w:rPr>
          <w:rFonts w:cs="Tahoma"/>
          <w:bCs/>
          <w:lang w:val="en-GB"/>
        </w:rPr>
        <w:t>fine</w:t>
      </w:r>
      <w:r w:rsidR="009C0CF1" w:rsidRPr="00022DEB">
        <w:rPr>
          <w:rFonts w:cs="Tahoma"/>
          <w:bCs/>
          <w:lang w:val="en-GB"/>
        </w:rPr>
        <w:t>”</w:t>
      </w:r>
      <w:r w:rsidR="00AC1DCB" w:rsidRPr="00022DEB">
        <w:rPr>
          <w:rFonts w:cs="Tahoma"/>
          <w:bCs/>
          <w:lang w:val="en-GB"/>
        </w:rPr>
        <w:t>, even though cases of longer periods of deprivation of liber</w:t>
      </w:r>
      <w:r w:rsidRPr="00022DEB">
        <w:rPr>
          <w:rFonts w:cs="Tahoma"/>
          <w:bCs/>
          <w:lang w:val="en-GB"/>
        </w:rPr>
        <w:t xml:space="preserve">ty </w:t>
      </w:r>
      <w:r w:rsidR="005779C7">
        <w:rPr>
          <w:rFonts w:cs="Tahoma"/>
          <w:bCs/>
          <w:lang w:val="en-GB"/>
        </w:rPr>
        <w:t>have</w:t>
      </w:r>
      <w:r w:rsidRPr="00022DEB">
        <w:rPr>
          <w:rFonts w:cs="Tahoma"/>
          <w:bCs/>
          <w:lang w:val="en-GB"/>
        </w:rPr>
        <w:t xml:space="preserve"> also</w:t>
      </w:r>
      <w:r w:rsidR="005779C7">
        <w:rPr>
          <w:rFonts w:cs="Tahoma"/>
          <w:bCs/>
          <w:lang w:val="en-GB"/>
        </w:rPr>
        <w:t xml:space="preserve"> been</w:t>
      </w:r>
      <w:r w:rsidRPr="00022DEB">
        <w:rPr>
          <w:rFonts w:cs="Tahoma"/>
          <w:bCs/>
          <w:lang w:val="en-GB"/>
        </w:rPr>
        <w:t xml:space="preserve"> reported. According to security observers, 100</w:t>
      </w:r>
      <w:r w:rsidR="00E06019" w:rsidRPr="00022DEB">
        <w:rPr>
          <w:rFonts w:cs="Tahoma"/>
          <w:bCs/>
          <w:lang w:val="en-GB"/>
        </w:rPr>
        <w:t xml:space="preserve"> </w:t>
      </w:r>
      <w:r w:rsidR="00CA3209" w:rsidRPr="00022DEB">
        <w:rPr>
          <w:rFonts w:cs="Tahoma"/>
          <w:bCs/>
          <w:lang w:val="en-GB"/>
        </w:rPr>
        <w:t xml:space="preserve">detention cases </w:t>
      </w:r>
      <w:r w:rsidRPr="00022DEB">
        <w:rPr>
          <w:rFonts w:cs="Tahoma"/>
          <w:bCs/>
          <w:lang w:val="en-GB"/>
        </w:rPr>
        <w:t>were reported in 2018, although these figures refer generally</w:t>
      </w:r>
      <w:r w:rsidR="00CA3209" w:rsidRPr="00022DEB">
        <w:rPr>
          <w:rFonts w:cs="Tahoma"/>
          <w:bCs/>
          <w:lang w:val="en-GB"/>
        </w:rPr>
        <w:t xml:space="preserve"> to ethnic Georgians and the total number could</w:t>
      </w:r>
      <w:r w:rsidRPr="00022DEB">
        <w:rPr>
          <w:rFonts w:cs="Tahoma"/>
          <w:bCs/>
          <w:lang w:val="en-GB"/>
        </w:rPr>
        <w:t xml:space="preserve"> </w:t>
      </w:r>
      <w:r w:rsidR="00E06019" w:rsidRPr="00022DEB">
        <w:rPr>
          <w:rFonts w:cs="Tahoma"/>
          <w:bCs/>
          <w:lang w:val="en-GB"/>
        </w:rPr>
        <w:t>admittedly be higher.</w:t>
      </w:r>
      <w:r w:rsidR="00CA3209" w:rsidRPr="00022DEB">
        <w:rPr>
          <w:rFonts w:cs="Tahoma"/>
          <w:bCs/>
          <w:lang w:val="en-GB"/>
        </w:rPr>
        <w:t xml:space="preserve"> The figures however reflect a downward trend, which according to some interlocutors, was the result of more effective “</w:t>
      </w:r>
      <w:proofErr w:type="spellStart"/>
      <w:r w:rsidR="00CA3209" w:rsidRPr="00022DEB">
        <w:rPr>
          <w:rFonts w:cs="Tahoma"/>
          <w:bCs/>
          <w:lang w:val="en-GB"/>
        </w:rPr>
        <w:t>borderisation</w:t>
      </w:r>
      <w:proofErr w:type="spellEnd"/>
      <w:r w:rsidR="00CA3209" w:rsidRPr="00022DEB">
        <w:rPr>
          <w:rFonts w:cs="Tahoma"/>
          <w:bCs/>
          <w:lang w:val="en-GB"/>
        </w:rPr>
        <w:t xml:space="preserve">” measures. </w:t>
      </w:r>
      <w:r w:rsidR="00E06019" w:rsidRPr="00022DEB">
        <w:rPr>
          <w:rFonts w:cs="Tahoma"/>
          <w:bCs/>
          <w:lang w:val="en-GB"/>
        </w:rPr>
        <w:t xml:space="preserve"> </w:t>
      </w:r>
    </w:p>
    <w:p w:rsidR="004F195B" w:rsidRPr="00022DEB" w:rsidRDefault="004F195B" w:rsidP="004F195B">
      <w:pPr>
        <w:tabs>
          <w:tab w:val="num" w:pos="0"/>
        </w:tabs>
        <w:jc w:val="both"/>
        <w:rPr>
          <w:rFonts w:cs="Tahoma"/>
          <w:bCs/>
          <w:lang w:val="en-GB"/>
        </w:rPr>
      </w:pPr>
    </w:p>
    <w:p w:rsidR="00E06019" w:rsidRPr="00022DEB" w:rsidRDefault="004F195B" w:rsidP="004F195B">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It is reported that only those in possession of a valid document would be allowed to cross following the enforcement of new rules </w:t>
      </w:r>
      <w:r w:rsidR="009F7A0B" w:rsidRPr="00022DEB">
        <w:rPr>
          <w:rFonts w:cs="Tahoma"/>
          <w:bCs/>
          <w:lang w:val="en-GB"/>
        </w:rPr>
        <w:t>effective</w:t>
      </w:r>
      <w:r w:rsidRPr="00022DEB">
        <w:rPr>
          <w:rFonts w:cs="Tahoma"/>
          <w:bCs/>
          <w:lang w:val="en-GB"/>
        </w:rPr>
        <w:t xml:space="preserve"> </w:t>
      </w:r>
      <w:r w:rsidR="00F3506B">
        <w:rPr>
          <w:rFonts w:cs="Tahoma"/>
          <w:bCs/>
          <w:lang w:val="en-GB"/>
        </w:rPr>
        <w:t xml:space="preserve">from </w:t>
      </w:r>
      <w:r w:rsidRPr="00022DEB">
        <w:rPr>
          <w:rFonts w:cs="Tahoma"/>
          <w:bCs/>
          <w:lang w:val="en-GB"/>
        </w:rPr>
        <w:t xml:space="preserve">February 2019. The new regulations stipulate that ethnic Georgian population should apply for a new permission. In this regard, concerns were raised that changes to the documentation regime happen without prior </w:t>
      </w:r>
      <w:r w:rsidR="009F7A0B" w:rsidRPr="00022DEB">
        <w:rPr>
          <w:rFonts w:cs="Tahoma"/>
          <w:bCs/>
          <w:lang w:val="en-GB"/>
        </w:rPr>
        <w:t xml:space="preserve">information and </w:t>
      </w:r>
      <w:r w:rsidRPr="00022DEB">
        <w:rPr>
          <w:rFonts w:cs="Tahoma"/>
          <w:bCs/>
          <w:lang w:val="en-GB"/>
        </w:rPr>
        <w:t xml:space="preserve">notification creating significant uncertainty. </w:t>
      </w:r>
    </w:p>
    <w:p w:rsidR="009F7A0B" w:rsidRPr="00022DEB" w:rsidRDefault="009F7A0B" w:rsidP="009F7A0B">
      <w:pPr>
        <w:tabs>
          <w:tab w:val="num" w:pos="0"/>
        </w:tabs>
        <w:jc w:val="both"/>
        <w:rPr>
          <w:rFonts w:cs="Tahoma"/>
          <w:bCs/>
          <w:lang w:val="en-GB"/>
        </w:rPr>
      </w:pPr>
    </w:p>
    <w:p w:rsidR="009F7A0B" w:rsidRPr="00022DEB" w:rsidRDefault="009F7A0B" w:rsidP="004F195B">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As regards access to education in </w:t>
      </w:r>
      <w:r w:rsidR="005779C7">
        <w:rPr>
          <w:rFonts w:cs="Tahoma"/>
          <w:bCs/>
          <w:lang w:val="en-GB"/>
        </w:rPr>
        <w:t xml:space="preserve">the </w:t>
      </w:r>
      <w:r w:rsidRPr="00022DEB">
        <w:rPr>
          <w:rFonts w:cs="Tahoma"/>
          <w:bCs/>
          <w:lang w:val="en-GB"/>
        </w:rPr>
        <w:t xml:space="preserve">native language, representatives of the Georgian central government submitted that approximately 100 schoolchildren are affected by transition to Russian in grades </w:t>
      </w:r>
      <w:r w:rsidR="009C0CF1" w:rsidRPr="00022DEB">
        <w:rPr>
          <w:rFonts w:cs="Tahoma"/>
          <w:bCs/>
          <w:lang w:val="en-GB"/>
        </w:rPr>
        <w:t>one to four</w:t>
      </w:r>
      <w:r w:rsidRPr="00022DEB">
        <w:rPr>
          <w:rFonts w:cs="Tahoma"/>
          <w:bCs/>
          <w:lang w:val="en-GB"/>
        </w:rPr>
        <w:t xml:space="preserve"> </w:t>
      </w:r>
      <w:r w:rsidR="00A530EA" w:rsidRPr="00022DEB">
        <w:rPr>
          <w:rFonts w:cs="Tahoma"/>
          <w:bCs/>
          <w:lang w:val="en-GB"/>
        </w:rPr>
        <w:t xml:space="preserve">of </w:t>
      </w:r>
      <w:r w:rsidRPr="00022DEB">
        <w:rPr>
          <w:rFonts w:cs="Tahoma"/>
          <w:bCs/>
          <w:lang w:val="en-GB"/>
        </w:rPr>
        <w:t xml:space="preserve">the formerly Georgian-language schools in </w:t>
      </w:r>
      <w:proofErr w:type="spellStart"/>
      <w:r w:rsidRPr="00022DEB">
        <w:rPr>
          <w:rFonts w:cs="Tahoma"/>
          <w:bCs/>
          <w:lang w:val="en-GB"/>
        </w:rPr>
        <w:t>Akhalgori</w:t>
      </w:r>
      <w:proofErr w:type="spellEnd"/>
      <w:r w:rsidRPr="00022DEB">
        <w:rPr>
          <w:rFonts w:cs="Tahoma"/>
          <w:bCs/>
          <w:lang w:val="en-GB"/>
        </w:rPr>
        <w:t xml:space="preserve">, </w:t>
      </w:r>
      <w:proofErr w:type="spellStart"/>
      <w:r w:rsidRPr="00022DEB">
        <w:rPr>
          <w:rFonts w:cs="Tahoma"/>
          <w:bCs/>
          <w:lang w:val="en-GB"/>
        </w:rPr>
        <w:t>Znauri</w:t>
      </w:r>
      <w:proofErr w:type="spellEnd"/>
      <w:r w:rsidR="00514D9E" w:rsidRPr="00022DEB">
        <w:rPr>
          <w:rFonts w:cs="Tahoma"/>
          <w:bCs/>
          <w:lang w:val="en-GB"/>
        </w:rPr>
        <w:t xml:space="preserve"> and </w:t>
      </w:r>
      <w:proofErr w:type="spellStart"/>
      <w:r w:rsidR="00514D9E" w:rsidRPr="00022DEB">
        <w:rPr>
          <w:rFonts w:cs="Tahoma"/>
          <w:bCs/>
          <w:lang w:val="en-GB"/>
        </w:rPr>
        <w:t>Sinaguri</w:t>
      </w:r>
      <w:proofErr w:type="spellEnd"/>
      <w:r w:rsidRPr="00022DEB">
        <w:rPr>
          <w:rFonts w:cs="Tahoma"/>
          <w:bCs/>
          <w:lang w:val="en-GB"/>
        </w:rPr>
        <w:t xml:space="preserve">. They </w:t>
      </w:r>
      <w:r w:rsidR="00A530EA" w:rsidRPr="00022DEB">
        <w:rPr>
          <w:rFonts w:cs="Tahoma"/>
          <w:bCs/>
          <w:lang w:val="en-GB"/>
        </w:rPr>
        <w:t xml:space="preserve">qualify this </w:t>
      </w:r>
      <w:r w:rsidRPr="00022DEB">
        <w:rPr>
          <w:rFonts w:cs="Tahoma"/>
          <w:bCs/>
          <w:lang w:val="en-GB"/>
        </w:rPr>
        <w:t xml:space="preserve">practice as discriminatory. </w:t>
      </w:r>
    </w:p>
    <w:p w:rsidR="002F2F33" w:rsidRPr="00022DEB" w:rsidRDefault="002F2F33" w:rsidP="002F2F33">
      <w:pPr>
        <w:pStyle w:val="ListParagraph"/>
        <w:ind w:left="0"/>
        <w:jc w:val="both"/>
        <w:rPr>
          <w:rFonts w:cs="Tahoma"/>
          <w:lang w:val="en-GB"/>
        </w:rPr>
      </w:pPr>
    </w:p>
    <w:p w:rsidR="00467916" w:rsidRPr="00022DEB" w:rsidRDefault="00467916" w:rsidP="00467916">
      <w:pPr>
        <w:jc w:val="both"/>
        <w:rPr>
          <w:rFonts w:cs="Tahoma"/>
          <w:i/>
          <w:lang w:val="en-GB"/>
        </w:rPr>
      </w:pPr>
      <w:r w:rsidRPr="00022DEB">
        <w:rPr>
          <w:rFonts w:cs="Tahoma"/>
          <w:i/>
          <w:lang w:val="en-GB"/>
        </w:rPr>
        <w:t>III.3</w:t>
      </w:r>
      <w:r w:rsidRPr="00022DEB">
        <w:rPr>
          <w:rFonts w:cs="Tahoma"/>
          <w:i/>
          <w:lang w:val="en-GB"/>
        </w:rPr>
        <w:tab/>
        <w:t xml:space="preserve">The situation of </w:t>
      </w:r>
      <w:r w:rsidR="005779C7">
        <w:rPr>
          <w:rFonts w:cs="Tahoma"/>
          <w:i/>
          <w:lang w:val="en-GB"/>
        </w:rPr>
        <w:t>i</w:t>
      </w:r>
      <w:r w:rsidRPr="00022DEB">
        <w:rPr>
          <w:rFonts w:cs="Tahoma"/>
          <w:i/>
          <w:lang w:val="en-GB"/>
        </w:rPr>
        <w:t xml:space="preserve">nternally </w:t>
      </w:r>
      <w:r w:rsidR="005779C7">
        <w:rPr>
          <w:rFonts w:cs="Tahoma"/>
          <w:i/>
          <w:lang w:val="en-GB"/>
        </w:rPr>
        <w:t>d</w:t>
      </w:r>
      <w:r w:rsidRPr="00022DEB">
        <w:rPr>
          <w:rFonts w:cs="Tahoma"/>
          <w:i/>
          <w:lang w:val="en-GB"/>
        </w:rPr>
        <w:t xml:space="preserve">isplaced </w:t>
      </w:r>
      <w:r w:rsidR="005779C7">
        <w:rPr>
          <w:rFonts w:cs="Tahoma"/>
          <w:i/>
          <w:lang w:val="en-GB"/>
        </w:rPr>
        <w:t>p</w:t>
      </w:r>
      <w:r w:rsidRPr="00022DEB">
        <w:rPr>
          <w:rFonts w:cs="Tahoma"/>
          <w:i/>
          <w:lang w:val="en-GB"/>
        </w:rPr>
        <w:t>ersons</w:t>
      </w:r>
    </w:p>
    <w:p w:rsidR="00467916" w:rsidRPr="00022DEB" w:rsidRDefault="00467916" w:rsidP="00676080">
      <w:pPr>
        <w:jc w:val="both"/>
        <w:rPr>
          <w:rFonts w:cs="Tahoma"/>
          <w:lang w:val="en-GB"/>
        </w:rPr>
      </w:pPr>
    </w:p>
    <w:p w:rsidR="00E06019" w:rsidRPr="00022DEB" w:rsidRDefault="00E06019" w:rsidP="00676080">
      <w:pPr>
        <w:pStyle w:val="ListParagraph"/>
        <w:numPr>
          <w:ilvl w:val="0"/>
          <w:numId w:val="5"/>
        </w:numPr>
        <w:tabs>
          <w:tab w:val="clear" w:pos="360"/>
          <w:tab w:val="num" w:pos="0"/>
        </w:tabs>
        <w:ind w:left="0" w:firstLine="0"/>
        <w:jc w:val="both"/>
        <w:rPr>
          <w:rFonts w:eastAsia="Times New Roman" w:cs="Tahoma"/>
          <w:spacing w:val="2"/>
          <w:lang w:val="en-GB"/>
        </w:rPr>
      </w:pPr>
      <w:r w:rsidRPr="00022DEB">
        <w:rPr>
          <w:rFonts w:eastAsia="Times New Roman" w:cs="Tahoma"/>
          <w:spacing w:val="2"/>
          <w:lang w:val="en-GB"/>
        </w:rPr>
        <w:t>During the period under review, no progress could be reported as regards the voluntary, safe, dignified and unhindered return of internally displaced persons</w:t>
      </w:r>
      <w:r w:rsidR="00D42390" w:rsidRPr="00022DEB">
        <w:rPr>
          <w:rFonts w:eastAsia="Times New Roman" w:cs="Tahoma"/>
          <w:spacing w:val="2"/>
          <w:lang w:val="en-GB"/>
        </w:rPr>
        <w:t xml:space="preserve"> (IDPs)</w:t>
      </w:r>
      <w:r w:rsidRPr="00022DEB">
        <w:rPr>
          <w:rFonts w:eastAsia="Times New Roman" w:cs="Tahoma"/>
          <w:spacing w:val="2"/>
          <w:lang w:val="en-GB"/>
        </w:rPr>
        <w:t xml:space="preserve"> and refugees on the basis of internationally</w:t>
      </w:r>
      <w:r w:rsidR="00611243" w:rsidRPr="00022DEB">
        <w:rPr>
          <w:rFonts w:eastAsia="Times New Roman" w:cs="Tahoma"/>
          <w:spacing w:val="2"/>
          <w:lang w:val="en-GB"/>
        </w:rPr>
        <w:t xml:space="preserve"> </w:t>
      </w:r>
      <w:r w:rsidRPr="00022DEB">
        <w:rPr>
          <w:rFonts w:eastAsia="Times New Roman" w:cs="Tahoma"/>
          <w:spacing w:val="2"/>
          <w:lang w:val="en-GB"/>
        </w:rPr>
        <w:t>recogni</w:t>
      </w:r>
      <w:r w:rsidR="00DB4583" w:rsidRPr="00022DEB">
        <w:rPr>
          <w:rFonts w:eastAsia="Times New Roman" w:cs="Tahoma"/>
          <w:spacing w:val="2"/>
          <w:lang w:val="en-GB"/>
        </w:rPr>
        <w:t>s</w:t>
      </w:r>
      <w:r w:rsidRPr="00022DEB">
        <w:rPr>
          <w:rFonts w:eastAsia="Times New Roman" w:cs="Tahoma"/>
          <w:spacing w:val="2"/>
          <w:lang w:val="en-GB"/>
        </w:rPr>
        <w:t xml:space="preserve">ed principles. While the issue remains </w:t>
      </w:r>
      <w:r w:rsidR="00286717">
        <w:rPr>
          <w:rFonts w:eastAsia="Times New Roman" w:cs="Tahoma"/>
          <w:spacing w:val="2"/>
          <w:lang w:val="en-GB"/>
        </w:rPr>
        <w:t>o</w:t>
      </w:r>
      <w:r w:rsidRPr="00022DEB">
        <w:rPr>
          <w:rFonts w:eastAsia="Times New Roman" w:cs="Tahoma"/>
          <w:spacing w:val="2"/>
          <w:lang w:val="en-GB"/>
        </w:rPr>
        <w:t xml:space="preserve">n the agenda of the GID, as mentioned </w:t>
      </w:r>
      <w:r w:rsidR="00A530EA" w:rsidRPr="00022DEB">
        <w:rPr>
          <w:rFonts w:eastAsia="Times New Roman" w:cs="Tahoma"/>
          <w:spacing w:val="2"/>
          <w:lang w:val="en-GB"/>
        </w:rPr>
        <w:t>above</w:t>
      </w:r>
      <w:r w:rsidRPr="00022DEB">
        <w:rPr>
          <w:rFonts w:eastAsia="Times New Roman" w:cs="Tahoma"/>
          <w:spacing w:val="2"/>
          <w:lang w:val="en-GB"/>
        </w:rPr>
        <w:t>, substantive discussions</w:t>
      </w:r>
      <w:r w:rsidR="00514D9E" w:rsidRPr="00022DEB">
        <w:rPr>
          <w:rFonts w:eastAsia="Times New Roman" w:cs="Tahoma"/>
          <w:spacing w:val="2"/>
          <w:lang w:val="en-GB"/>
        </w:rPr>
        <w:t xml:space="preserve"> could not be held due to </w:t>
      </w:r>
      <w:r w:rsidR="00D948FA" w:rsidRPr="00022DEB">
        <w:rPr>
          <w:rFonts w:eastAsia="Times New Roman" w:cs="Tahoma"/>
          <w:spacing w:val="2"/>
          <w:lang w:val="en-GB"/>
        </w:rPr>
        <w:t>longstanding divergences</w:t>
      </w:r>
      <w:r w:rsidRPr="00022DEB">
        <w:rPr>
          <w:rFonts w:eastAsia="Times New Roman" w:cs="Tahoma"/>
          <w:spacing w:val="2"/>
          <w:lang w:val="en-GB"/>
        </w:rPr>
        <w:t>.</w:t>
      </w:r>
      <w:r w:rsidR="00D948FA" w:rsidRPr="00022DEB">
        <w:rPr>
          <w:rFonts w:eastAsia="Times New Roman" w:cs="Tahoma"/>
          <w:spacing w:val="2"/>
          <w:lang w:val="en-GB"/>
        </w:rPr>
        <w:t xml:space="preserve"> Representatives of the Georgian central government stressed in meetings with the delegation that the issue is at the core of the solution of the conflict. On the other hand, </w:t>
      </w:r>
      <w:r w:rsidR="00286717">
        <w:rPr>
          <w:rFonts w:eastAsia="Times New Roman" w:cs="Tahoma"/>
          <w:spacing w:val="2"/>
          <w:lang w:val="en-GB"/>
        </w:rPr>
        <w:t xml:space="preserve">the </w:t>
      </w:r>
      <w:r w:rsidR="00D948FA" w:rsidRPr="00022DEB">
        <w:rPr>
          <w:rFonts w:eastAsia="Times New Roman" w:cs="Tahoma"/>
          <w:i/>
          <w:spacing w:val="2"/>
          <w:lang w:val="en-GB"/>
        </w:rPr>
        <w:t>de facto</w:t>
      </w:r>
      <w:r w:rsidR="00D948FA" w:rsidRPr="00022DEB">
        <w:rPr>
          <w:rFonts w:eastAsia="Times New Roman" w:cs="Tahoma"/>
          <w:spacing w:val="2"/>
          <w:lang w:val="en-GB"/>
        </w:rPr>
        <w:t xml:space="preserve"> authorities of Abkhazia and South Ossetia </w:t>
      </w:r>
      <w:r w:rsidR="00044EC8" w:rsidRPr="00022DEB">
        <w:rPr>
          <w:rFonts w:eastAsia="Times New Roman" w:cs="Tahoma"/>
          <w:spacing w:val="2"/>
          <w:lang w:val="en-GB"/>
        </w:rPr>
        <w:t xml:space="preserve">continued </w:t>
      </w:r>
      <w:r w:rsidR="009C0CF1" w:rsidRPr="00022DEB">
        <w:rPr>
          <w:rFonts w:eastAsia="Times New Roman" w:cs="Tahoma"/>
          <w:spacing w:val="2"/>
          <w:lang w:val="en-GB"/>
        </w:rPr>
        <w:t xml:space="preserve">to </w:t>
      </w:r>
      <w:r w:rsidR="00D948FA" w:rsidRPr="00022DEB">
        <w:rPr>
          <w:rFonts w:eastAsia="Times New Roman" w:cs="Tahoma"/>
          <w:spacing w:val="2"/>
          <w:lang w:val="en-GB"/>
        </w:rPr>
        <w:t xml:space="preserve">protest at Georgia’s initiatives to raise the issue in other international formats, in which they do not participate. </w:t>
      </w:r>
      <w:r w:rsidR="00904474">
        <w:rPr>
          <w:rFonts w:eastAsia="Times New Roman" w:cs="Tahoma"/>
          <w:spacing w:val="2"/>
          <w:lang w:val="en-GB"/>
        </w:rPr>
        <w:t xml:space="preserve">The </w:t>
      </w:r>
      <w:r w:rsidR="00D948FA" w:rsidRPr="00022DEB">
        <w:rPr>
          <w:rFonts w:eastAsia="Times New Roman" w:cs="Tahoma"/>
          <w:spacing w:val="2"/>
          <w:lang w:val="en-GB"/>
        </w:rPr>
        <w:t>Russia</w:t>
      </w:r>
      <w:r w:rsidR="00904474">
        <w:rPr>
          <w:rFonts w:eastAsia="Times New Roman" w:cs="Tahoma"/>
          <w:spacing w:val="2"/>
          <w:lang w:val="en-GB"/>
        </w:rPr>
        <w:t>n Federation</w:t>
      </w:r>
      <w:r w:rsidR="00D948FA" w:rsidRPr="00022DEB">
        <w:rPr>
          <w:rFonts w:eastAsia="Times New Roman" w:cs="Tahoma"/>
          <w:spacing w:val="2"/>
          <w:lang w:val="en-GB"/>
        </w:rPr>
        <w:t xml:space="preserve"> has generally supported this stance.</w:t>
      </w:r>
    </w:p>
    <w:p w:rsidR="00E06019" w:rsidRPr="00022DEB" w:rsidRDefault="00E06019" w:rsidP="00676080">
      <w:pPr>
        <w:pStyle w:val="ListParagraph"/>
        <w:ind w:left="0"/>
        <w:jc w:val="both"/>
        <w:rPr>
          <w:rFonts w:eastAsia="Times New Roman" w:cs="Tahoma"/>
          <w:spacing w:val="2"/>
          <w:lang w:val="en-GB"/>
        </w:rPr>
      </w:pPr>
    </w:p>
    <w:p w:rsidR="00031591" w:rsidRDefault="006835AF" w:rsidP="00380DE3">
      <w:pPr>
        <w:pStyle w:val="ListParagraph"/>
        <w:numPr>
          <w:ilvl w:val="0"/>
          <w:numId w:val="5"/>
        </w:numPr>
        <w:tabs>
          <w:tab w:val="clear" w:pos="360"/>
          <w:tab w:val="num" w:pos="0"/>
        </w:tabs>
        <w:ind w:left="0" w:firstLine="0"/>
        <w:jc w:val="both"/>
        <w:rPr>
          <w:rFonts w:eastAsia="Times New Roman" w:cs="Tahoma"/>
          <w:spacing w:val="2"/>
          <w:lang w:val="en-GB"/>
        </w:rPr>
      </w:pPr>
      <w:r w:rsidRPr="00022DEB">
        <w:rPr>
          <w:rFonts w:eastAsia="Times New Roman" w:cs="Tahoma"/>
          <w:spacing w:val="2"/>
          <w:lang w:val="en-GB"/>
        </w:rPr>
        <w:t xml:space="preserve">In the absence of </w:t>
      </w:r>
      <w:r w:rsidR="00C71F2A" w:rsidRPr="00022DEB">
        <w:rPr>
          <w:rFonts w:eastAsia="Times New Roman" w:cs="Tahoma"/>
          <w:spacing w:val="2"/>
          <w:lang w:val="en-GB"/>
        </w:rPr>
        <w:t xml:space="preserve">the option for IDPs to </w:t>
      </w:r>
      <w:r w:rsidRPr="00022DEB">
        <w:rPr>
          <w:rFonts w:eastAsia="Times New Roman" w:cs="Tahoma"/>
          <w:spacing w:val="2"/>
          <w:lang w:val="en-GB"/>
        </w:rPr>
        <w:t>return, t</w:t>
      </w:r>
      <w:r w:rsidR="00E06019" w:rsidRPr="00022DEB">
        <w:rPr>
          <w:rFonts w:eastAsia="Times New Roman" w:cs="Tahoma"/>
          <w:spacing w:val="2"/>
          <w:lang w:val="en-GB"/>
        </w:rPr>
        <w:t xml:space="preserve">he </w:t>
      </w:r>
      <w:r w:rsidR="0066435E" w:rsidRPr="00022DEB">
        <w:rPr>
          <w:rFonts w:eastAsia="Times New Roman" w:cs="Tahoma"/>
          <w:spacing w:val="2"/>
          <w:lang w:val="en-GB"/>
        </w:rPr>
        <w:t xml:space="preserve">Georgian </w:t>
      </w:r>
      <w:r w:rsidR="00D7071B" w:rsidRPr="00022DEB">
        <w:rPr>
          <w:rFonts w:eastAsia="Times New Roman" w:cs="Tahoma"/>
          <w:spacing w:val="2"/>
          <w:lang w:val="en-GB"/>
        </w:rPr>
        <w:t xml:space="preserve">central </w:t>
      </w:r>
      <w:r w:rsidR="0066435E" w:rsidRPr="00022DEB">
        <w:rPr>
          <w:rFonts w:eastAsia="Times New Roman" w:cs="Tahoma"/>
          <w:spacing w:val="2"/>
          <w:lang w:val="en-GB"/>
        </w:rPr>
        <w:t>g</w:t>
      </w:r>
      <w:r w:rsidR="00E06019" w:rsidRPr="00022DEB">
        <w:rPr>
          <w:rFonts w:eastAsia="Times New Roman" w:cs="Tahoma"/>
          <w:spacing w:val="2"/>
          <w:lang w:val="en-GB"/>
        </w:rPr>
        <w:t>overnment</w:t>
      </w:r>
      <w:r w:rsidR="00F3506B">
        <w:rPr>
          <w:rFonts w:eastAsia="Times New Roman" w:cs="Tahoma"/>
          <w:spacing w:val="2"/>
          <w:lang w:val="en-GB"/>
        </w:rPr>
        <w:t>,</w:t>
      </w:r>
      <w:r w:rsidR="00E06019" w:rsidRPr="00022DEB">
        <w:rPr>
          <w:rFonts w:eastAsia="Times New Roman" w:cs="Tahoma"/>
          <w:spacing w:val="2"/>
          <w:lang w:val="en-GB"/>
        </w:rPr>
        <w:t xml:space="preserve"> </w:t>
      </w:r>
      <w:r w:rsidR="00143BF8" w:rsidRPr="00022DEB">
        <w:rPr>
          <w:rFonts w:eastAsia="Times New Roman" w:cs="Tahoma"/>
          <w:spacing w:val="2"/>
          <w:lang w:val="en-GB"/>
        </w:rPr>
        <w:t xml:space="preserve">in co-operation with international </w:t>
      </w:r>
      <w:r w:rsidR="00E7694E" w:rsidRPr="00022DEB">
        <w:rPr>
          <w:rFonts w:eastAsia="Times New Roman" w:cs="Tahoma"/>
          <w:spacing w:val="2"/>
          <w:lang w:val="en-GB"/>
        </w:rPr>
        <w:t>organisations</w:t>
      </w:r>
      <w:r w:rsidR="00F3506B">
        <w:rPr>
          <w:rFonts w:eastAsia="Times New Roman" w:cs="Tahoma"/>
          <w:spacing w:val="2"/>
          <w:lang w:val="en-GB"/>
        </w:rPr>
        <w:t>,</w:t>
      </w:r>
      <w:r w:rsidR="00143BF8" w:rsidRPr="00022DEB">
        <w:rPr>
          <w:rFonts w:eastAsia="Times New Roman" w:cs="Tahoma"/>
          <w:spacing w:val="2"/>
          <w:lang w:val="en-GB"/>
        </w:rPr>
        <w:t xml:space="preserve"> </w:t>
      </w:r>
      <w:r w:rsidR="00E06019" w:rsidRPr="00022DEB">
        <w:rPr>
          <w:rFonts w:eastAsia="Times New Roman" w:cs="Tahoma"/>
          <w:spacing w:val="2"/>
          <w:lang w:val="en-GB"/>
        </w:rPr>
        <w:t>c</w:t>
      </w:r>
      <w:r w:rsidR="00E7694E" w:rsidRPr="00022DEB">
        <w:rPr>
          <w:rFonts w:eastAsia="Times New Roman" w:cs="Tahoma"/>
          <w:spacing w:val="2"/>
          <w:lang w:val="en-GB"/>
        </w:rPr>
        <w:t xml:space="preserve">ontinued efforts to put in place </w:t>
      </w:r>
      <w:r w:rsidR="00220A35" w:rsidRPr="00022DEB">
        <w:rPr>
          <w:rFonts w:eastAsia="Times New Roman" w:cs="Tahoma"/>
          <w:spacing w:val="2"/>
          <w:lang w:val="en-GB"/>
        </w:rPr>
        <w:t xml:space="preserve">alternative durable solutions </w:t>
      </w:r>
      <w:r w:rsidR="00143BF8" w:rsidRPr="00022DEB">
        <w:rPr>
          <w:rFonts w:eastAsia="Times New Roman" w:cs="Tahoma"/>
          <w:spacing w:val="2"/>
          <w:lang w:val="en-GB"/>
        </w:rPr>
        <w:t xml:space="preserve">that </w:t>
      </w:r>
      <w:r w:rsidR="009D77F9" w:rsidRPr="00022DEB">
        <w:rPr>
          <w:rFonts w:eastAsia="Times New Roman" w:cs="Tahoma"/>
          <w:spacing w:val="2"/>
          <w:lang w:val="en-GB"/>
        </w:rPr>
        <w:t xml:space="preserve">provide the opportunities for </w:t>
      </w:r>
      <w:r w:rsidR="00E06019" w:rsidRPr="00022DEB">
        <w:rPr>
          <w:rFonts w:eastAsia="Times New Roman" w:cs="Tahoma"/>
          <w:spacing w:val="2"/>
          <w:lang w:val="en-GB"/>
        </w:rPr>
        <w:t xml:space="preserve">IDPs </w:t>
      </w:r>
      <w:r w:rsidR="009D77F9" w:rsidRPr="00022DEB">
        <w:rPr>
          <w:rFonts w:eastAsia="Times New Roman" w:cs="Tahoma"/>
          <w:spacing w:val="2"/>
          <w:lang w:val="en-GB"/>
        </w:rPr>
        <w:t xml:space="preserve">to integrate locally </w:t>
      </w:r>
      <w:r w:rsidR="00E7694E" w:rsidRPr="00022DEB">
        <w:rPr>
          <w:rFonts w:eastAsia="Times New Roman" w:cs="Tahoma"/>
          <w:spacing w:val="2"/>
          <w:lang w:val="en-GB"/>
        </w:rPr>
        <w:t xml:space="preserve">or, in </w:t>
      </w:r>
      <w:r w:rsidR="002D36A9" w:rsidRPr="00022DEB">
        <w:rPr>
          <w:rFonts w:eastAsia="Times New Roman" w:cs="Tahoma"/>
          <w:spacing w:val="2"/>
          <w:lang w:val="en-GB"/>
        </w:rPr>
        <w:t>separate cases</w:t>
      </w:r>
      <w:r w:rsidR="00E7694E" w:rsidRPr="00022DEB">
        <w:rPr>
          <w:rFonts w:eastAsia="Times New Roman" w:cs="Tahoma"/>
          <w:spacing w:val="2"/>
          <w:lang w:val="en-GB"/>
        </w:rPr>
        <w:t>,</w:t>
      </w:r>
      <w:r w:rsidR="009D77F9" w:rsidRPr="00022DEB">
        <w:rPr>
          <w:rFonts w:eastAsia="Times New Roman" w:cs="Tahoma"/>
          <w:spacing w:val="2"/>
          <w:lang w:val="en-GB"/>
        </w:rPr>
        <w:t xml:space="preserve"> resettle</w:t>
      </w:r>
      <w:r w:rsidR="00143BF8" w:rsidRPr="00022DEB">
        <w:rPr>
          <w:rFonts w:eastAsia="Times New Roman" w:cs="Tahoma"/>
          <w:spacing w:val="2"/>
          <w:lang w:val="en-GB"/>
        </w:rPr>
        <w:t xml:space="preserve"> elsewhere in </w:t>
      </w:r>
      <w:r w:rsidR="009D77F9" w:rsidRPr="00022DEB">
        <w:rPr>
          <w:rFonts w:eastAsia="Times New Roman" w:cs="Tahoma"/>
          <w:spacing w:val="2"/>
          <w:lang w:val="en-GB"/>
        </w:rPr>
        <w:t>the country</w:t>
      </w:r>
      <w:r w:rsidR="00E06019" w:rsidRPr="00022DEB">
        <w:rPr>
          <w:rFonts w:eastAsia="Times New Roman" w:cs="Tahoma"/>
          <w:spacing w:val="2"/>
          <w:lang w:val="en-GB"/>
        </w:rPr>
        <w:t xml:space="preserve">. </w:t>
      </w:r>
      <w:r w:rsidR="00C71F2A" w:rsidRPr="00022DEB">
        <w:rPr>
          <w:rFonts w:eastAsia="Times New Roman" w:cs="Tahoma"/>
          <w:spacing w:val="2"/>
          <w:lang w:val="en-GB"/>
        </w:rPr>
        <w:t>Under the</w:t>
      </w:r>
      <w:r w:rsidR="00E217E1" w:rsidRPr="00022DEB">
        <w:rPr>
          <w:rFonts w:eastAsia="Times New Roman" w:cs="Tahoma"/>
          <w:spacing w:val="2"/>
          <w:lang w:val="en-GB"/>
        </w:rPr>
        <w:t xml:space="preserve"> new law,</w:t>
      </w:r>
      <w:r w:rsidR="00C71F2A" w:rsidRPr="00022DEB">
        <w:rPr>
          <w:rFonts w:eastAsia="Times New Roman" w:cs="Tahoma"/>
          <w:spacing w:val="2"/>
          <w:lang w:val="en-GB"/>
        </w:rPr>
        <w:t xml:space="preserve"> which</w:t>
      </w:r>
      <w:r w:rsidR="002D36A9" w:rsidRPr="00022DEB">
        <w:rPr>
          <w:rFonts w:eastAsia="Times New Roman" w:cs="Tahoma"/>
          <w:spacing w:val="2"/>
          <w:lang w:val="en-GB"/>
        </w:rPr>
        <w:t xml:space="preserve"> </w:t>
      </w:r>
      <w:r w:rsidR="00044EC8" w:rsidRPr="00022DEB">
        <w:rPr>
          <w:rFonts w:eastAsia="Times New Roman" w:cs="Tahoma"/>
          <w:spacing w:val="2"/>
          <w:lang w:val="en-GB"/>
        </w:rPr>
        <w:t xml:space="preserve">entered </w:t>
      </w:r>
      <w:r w:rsidR="002D36A9" w:rsidRPr="00022DEB">
        <w:rPr>
          <w:rFonts w:eastAsia="Times New Roman" w:cs="Tahoma"/>
          <w:spacing w:val="2"/>
          <w:lang w:val="en-GB"/>
        </w:rPr>
        <w:t>into force in</w:t>
      </w:r>
      <w:r w:rsidR="00E7694E" w:rsidRPr="00022DEB">
        <w:rPr>
          <w:rFonts w:eastAsia="Times New Roman" w:cs="Tahoma"/>
          <w:spacing w:val="2"/>
          <w:lang w:val="en-GB"/>
        </w:rPr>
        <w:t xml:space="preserve"> </w:t>
      </w:r>
      <w:r w:rsidR="00C71F2A" w:rsidRPr="00022DEB">
        <w:rPr>
          <w:rFonts w:eastAsia="Times New Roman" w:cs="Tahoma"/>
          <w:spacing w:val="2"/>
          <w:lang w:val="en-GB"/>
        </w:rPr>
        <w:t xml:space="preserve">2014, </w:t>
      </w:r>
      <w:r w:rsidR="00A413A6" w:rsidRPr="00022DEB">
        <w:rPr>
          <w:rFonts w:eastAsia="Times New Roman" w:cs="Tahoma"/>
          <w:spacing w:val="2"/>
          <w:lang w:val="en-GB"/>
        </w:rPr>
        <w:t xml:space="preserve">and the IDP Action Plan 2017-2018, </w:t>
      </w:r>
      <w:r w:rsidR="002D36A9" w:rsidRPr="00022DEB">
        <w:rPr>
          <w:rFonts w:eastAsia="Times New Roman" w:cs="Tahoma"/>
          <w:spacing w:val="2"/>
          <w:lang w:val="en-GB"/>
        </w:rPr>
        <w:t xml:space="preserve">the authorities </w:t>
      </w:r>
      <w:r w:rsidR="00C71F2A" w:rsidRPr="00022DEB">
        <w:rPr>
          <w:rFonts w:eastAsia="Times New Roman" w:cs="Tahoma"/>
          <w:spacing w:val="2"/>
          <w:lang w:val="en-GB"/>
        </w:rPr>
        <w:t>have been credited for improving the IDPs</w:t>
      </w:r>
      <w:r w:rsidR="00286717">
        <w:rPr>
          <w:rFonts w:eastAsia="Times New Roman" w:cs="Tahoma"/>
          <w:spacing w:val="2"/>
          <w:lang w:val="en-GB"/>
        </w:rPr>
        <w:t>’</w:t>
      </w:r>
      <w:r w:rsidR="00C71F2A" w:rsidRPr="00022DEB">
        <w:rPr>
          <w:rFonts w:eastAsia="Times New Roman" w:cs="Tahoma"/>
          <w:spacing w:val="2"/>
          <w:lang w:val="en-GB"/>
        </w:rPr>
        <w:t xml:space="preserve"> </w:t>
      </w:r>
      <w:r w:rsidR="00E217E1" w:rsidRPr="00022DEB">
        <w:rPr>
          <w:rFonts w:eastAsia="Times New Roman" w:cs="Tahoma"/>
          <w:spacing w:val="2"/>
          <w:lang w:val="en-GB"/>
        </w:rPr>
        <w:t xml:space="preserve">protection </w:t>
      </w:r>
      <w:r w:rsidR="00C71F2A" w:rsidRPr="00022DEB">
        <w:rPr>
          <w:rFonts w:eastAsia="Times New Roman" w:cs="Tahoma"/>
          <w:spacing w:val="2"/>
          <w:lang w:val="en-GB"/>
        </w:rPr>
        <w:t xml:space="preserve">and </w:t>
      </w:r>
      <w:r w:rsidR="00E7694E" w:rsidRPr="00022DEB">
        <w:rPr>
          <w:rFonts w:eastAsia="Times New Roman" w:cs="Tahoma"/>
          <w:spacing w:val="2"/>
          <w:lang w:val="en-GB"/>
        </w:rPr>
        <w:t xml:space="preserve">generally following a </w:t>
      </w:r>
      <w:r w:rsidR="00211560" w:rsidRPr="00022DEB">
        <w:rPr>
          <w:rFonts w:eastAsia="Times New Roman" w:cs="Tahoma"/>
          <w:spacing w:val="2"/>
          <w:lang w:val="en-GB"/>
        </w:rPr>
        <w:t>human-rights approach.</w:t>
      </w:r>
      <w:r w:rsidR="00A413A6" w:rsidRPr="00022DEB">
        <w:rPr>
          <w:rFonts w:eastAsia="Times New Roman" w:cs="Tahoma"/>
          <w:spacing w:val="2"/>
          <w:lang w:val="en-GB"/>
        </w:rPr>
        <w:t xml:space="preserve"> During the period under review, a system facilitating IDPs’ access to public services was put in place thanks to co-operation between the MRA and the Ministry of Justice.</w:t>
      </w:r>
    </w:p>
    <w:p w:rsidR="00B53CA3" w:rsidRPr="00022DEB" w:rsidRDefault="00B53CA3" w:rsidP="00380DE3">
      <w:pPr>
        <w:pStyle w:val="ListParagraph"/>
        <w:ind w:left="0"/>
        <w:jc w:val="both"/>
        <w:rPr>
          <w:rFonts w:eastAsia="Times New Roman" w:cs="Tahoma"/>
          <w:spacing w:val="2"/>
          <w:lang w:val="en-GB"/>
        </w:rPr>
      </w:pPr>
    </w:p>
    <w:p w:rsidR="00470245" w:rsidRPr="00022DEB" w:rsidRDefault="00E3207C" w:rsidP="00B53CA3">
      <w:pPr>
        <w:pStyle w:val="ListParagraph"/>
        <w:numPr>
          <w:ilvl w:val="0"/>
          <w:numId w:val="5"/>
        </w:numPr>
        <w:tabs>
          <w:tab w:val="clear" w:pos="360"/>
          <w:tab w:val="num" w:pos="0"/>
        </w:tabs>
        <w:ind w:left="0" w:firstLine="0"/>
        <w:jc w:val="both"/>
        <w:rPr>
          <w:rFonts w:eastAsia="Times New Roman" w:cs="Tahoma"/>
          <w:spacing w:val="2"/>
          <w:lang w:val="en-GB"/>
        </w:rPr>
      </w:pPr>
      <w:r w:rsidRPr="00022DEB">
        <w:rPr>
          <w:rFonts w:cs="Tahoma"/>
          <w:lang w:val="en-GB"/>
        </w:rPr>
        <w:t xml:space="preserve">The government continued to concentrate mainly on addressing the IPDs accommodation </w:t>
      </w:r>
      <w:r w:rsidR="00BE6CB9" w:rsidRPr="00022DEB">
        <w:rPr>
          <w:rFonts w:cs="Tahoma"/>
          <w:lang w:val="en-GB"/>
        </w:rPr>
        <w:t xml:space="preserve">needs </w:t>
      </w:r>
      <w:r w:rsidR="001713B1" w:rsidRPr="00022DEB">
        <w:rPr>
          <w:rFonts w:cs="Tahoma"/>
          <w:lang w:val="en-GB"/>
        </w:rPr>
        <w:t xml:space="preserve">through a range </w:t>
      </w:r>
      <w:r w:rsidR="00044EC8" w:rsidRPr="00022DEB">
        <w:rPr>
          <w:rFonts w:cs="Tahoma"/>
          <w:lang w:val="en-GB"/>
        </w:rPr>
        <w:t xml:space="preserve">of </w:t>
      </w:r>
      <w:r w:rsidRPr="00022DEB">
        <w:rPr>
          <w:rFonts w:eastAsia="Times New Roman" w:cs="Tahoma"/>
          <w:spacing w:val="2"/>
          <w:lang w:val="en-GB"/>
        </w:rPr>
        <w:t>d</w:t>
      </w:r>
      <w:r w:rsidR="008342DE" w:rsidRPr="00022DEB">
        <w:rPr>
          <w:rFonts w:eastAsia="Times New Roman" w:cs="Tahoma"/>
          <w:spacing w:val="2"/>
          <w:lang w:val="en-GB"/>
        </w:rPr>
        <w:t xml:space="preserve">urable housing solutions (DHS) </w:t>
      </w:r>
      <w:r w:rsidR="007E4D9E" w:rsidRPr="00022DEB">
        <w:rPr>
          <w:rFonts w:eastAsia="Times New Roman" w:cs="Tahoma"/>
          <w:spacing w:val="2"/>
          <w:lang w:val="en-GB"/>
        </w:rPr>
        <w:t xml:space="preserve">programmes </w:t>
      </w:r>
      <w:r w:rsidR="000F130A" w:rsidRPr="00022DEB">
        <w:rPr>
          <w:rFonts w:eastAsia="Times New Roman" w:cs="Tahoma"/>
          <w:spacing w:val="2"/>
          <w:lang w:val="en-GB"/>
        </w:rPr>
        <w:t xml:space="preserve">that consist in </w:t>
      </w:r>
      <w:r w:rsidR="00286717">
        <w:rPr>
          <w:rFonts w:eastAsia="Times New Roman" w:cs="Tahoma"/>
          <w:spacing w:val="2"/>
          <w:lang w:val="en-GB"/>
        </w:rPr>
        <w:t xml:space="preserve">the </w:t>
      </w:r>
      <w:r w:rsidR="00A76A4F" w:rsidRPr="00022DEB">
        <w:rPr>
          <w:rFonts w:eastAsia="Times New Roman" w:cs="Tahoma"/>
          <w:spacing w:val="2"/>
          <w:lang w:val="en-GB"/>
        </w:rPr>
        <w:t xml:space="preserve">rehabilitation of </w:t>
      </w:r>
      <w:r w:rsidRPr="00022DEB">
        <w:rPr>
          <w:rFonts w:eastAsia="Times New Roman" w:cs="Tahoma"/>
          <w:spacing w:val="2"/>
          <w:lang w:val="en-GB"/>
        </w:rPr>
        <w:t xml:space="preserve">existing </w:t>
      </w:r>
      <w:r w:rsidR="00A76A4F" w:rsidRPr="00022DEB">
        <w:rPr>
          <w:rFonts w:eastAsia="Times New Roman" w:cs="Tahoma"/>
          <w:spacing w:val="2"/>
          <w:lang w:val="en-GB"/>
        </w:rPr>
        <w:t>buildings</w:t>
      </w:r>
      <w:r w:rsidRPr="00022DEB">
        <w:rPr>
          <w:rFonts w:eastAsia="Times New Roman" w:cs="Tahoma"/>
          <w:spacing w:val="2"/>
          <w:lang w:val="en-GB"/>
        </w:rPr>
        <w:t xml:space="preserve">, construction and </w:t>
      </w:r>
      <w:r w:rsidR="002470E8" w:rsidRPr="00022DEB">
        <w:rPr>
          <w:rFonts w:eastAsia="Times New Roman" w:cs="Tahoma"/>
          <w:spacing w:val="2"/>
          <w:lang w:val="en-GB"/>
        </w:rPr>
        <w:t>purchas</w:t>
      </w:r>
      <w:r w:rsidR="00A76A4F" w:rsidRPr="00022DEB">
        <w:rPr>
          <w:rFonts w:eastAsia="Times New Roman" w:cs="Tahoma"/>
          <w:spacing w:val="2"/>
          <w:lang w:val="en-GB"/>
        </w:rPr>
        <w:t xml:space="preserve">ing of </w:t>
      </w:r>
      <w:r w:rsidR="002470E8" w:rsidRPr="00022DEB">
        <w:rPr>
          <w:rFonts w:eastAsia="Times New Roman" w:cs="Tahoma"/>
          <w:spacing w:val="2"/>
          <w:lang w:val="en-GB"/>
        </w:rPr>
        <w:t>new</w:t>
      </w:r>
      <w:r w:rsidR="00E06019" w:rsidRPr="00022DEB">
        <w:rPr>
          <w:rFonts w:eastAsia="Times New Roman" w:cs="Tahoma"/>
          <w:spacing w:val="2"/>
          <w:lang w:val="en-GB"/>
        </w:rPr>
        <w:t xml:space="preserve"> </w:t>
      </w:r>
      <w:r w:rsidR="00A76A4F" w:rsidRPr="00022DEB">
        <w:rPr>
          <w:rFonts w:eastAsia="Times New Roman" w:cs="Tahoma"/>
          <w:spacing w:val="2"/>
          <w:lang w:val="en-GB"/>
        </w:rPr>
        <w:t>acco</w:t>
      </w:r>
      <w:r w:rsidR="00A92013" w:rsidRPr="00022DEB">
        <w:rPr>
          <w:rFonts w:eastAsia="Times New Roman" w:cs="Tahoma"/>
          <w:spacing w:val="2"/>
          <w:lang w:val="en-GB"/>
        </w:rPr>
        <w:t xml:space="preserve">mmodation as well as </w:t>
      </w:r>
      <w:r w:rsidR="009D66A7" w:rsidRPr="00022DEB">
        <w:rPr>
          <w:rFonts w:eastAsia="Times New Roman" w:cs="Tahoma"/>
          <w:spacing w:val="2"/>
          <w:lang w:val="en-GB"/>
        </w:rPr>
        <w:t>transfer of ownership (privatisation)</w:t>
      </w:r>
      <w:r w:rsidR="00A76A4F" w:rsidRPr="00022DEB">
        <w:rPr>
          <w:rFonts w:eastAsia="Times New Roman" w:cs="Tahoma"/>
          <w:spacing w:val="2"/>
          <w:lang w:val="en-GB"/>
        </w:rPr>
        <w:t xml:space="preserve"> of </w:t>
      </w:r>
      <w:r w:rsidRPr="00022DEB">
        <w:rPr>
          <w:rFonts w:eastAsia="Times New Roman" w:cs="Tahoma"/>
          <w:spacing w:val="2"/>
          <w:lang w:val="en-GB"/>
        </w:rPr>
        <w:t xml:space="preserve">living spaces </w:t>
      </w:r>
      <w:r w:rsidR="009D66A7" w:rsidRPr="00022DEB">
        <w:rPr>
          <w:rFonts w:eastAsia="Times New Roman" w:cs="Tahoma"/>
          <w:spacing w:val="2"/>
          <w:lang w:val="en-GB"/>
        </w:rPr>
        <w:t>where</w:t>
      </w:r>
      <w:r w:rsidRPr="00022DEB">
        <w:rPr>
          <w:rFonts w:eastAsia="Times New Roman" w:cs="Tahoma"/>
          <w:spacing w:val="2"/>
          <w:lang w:val="en-GB"/>
        </w:rPr>
        <w:t xml:space="preserve"> IDPs</w:t>
      </w:r>
      <w:r w:rsidR="009D66A7" w:rsidRPr="00022DEB">
        <w:rPr>
          <w:rFonts w:eastAsia="Times New Roman" w:cs="Tahoma"/>
          <w:spacing w:val="2"/>
          <w:lang w:val="en-GB"/>
        </w:rPr>
        <w:t xml:space="preserve"> already live</w:t>
      </w:r>
      <w:r w:rsidR="00E06019" w:rsidRPr="00022DEB">
        <w:rPr>
          <w:rFonts w:eastAsia="Times New Roman" w:cs="Tahoma"/>
          <w:spacing w:val="2"/>
          <w:lang w:val="en-GB"/>
        </w:rPr>
        <w:t>.</w:t>
      </w:r>
      <w:r w:rsidR="00A92013" w:rsidRPr="00022DEB">
        <w:rPr>
          <w:rFonts w:eastAsia="Times New Roman" w:cs="Tahoma"/>
          <w:spacing w:val="2"/>
          <w:lang w:val="en-GB"/>
        </w:rPr>
        <w:t xml:space="preserve"> Different types of financial </w:t>
      </w:r>
      <w:r w:rsidR="008342DE" w:rsidRPr="00022DEB">
        <w:rPr>
          <w:rFonts w:eastAsia="Times New Roman" w:cs="Tahoma"/>
          <w:spacing w:val="2"/>
          <w:lang w:val="en-GB"/>
        </w:rPr>
        <w:t xml:space="preserve">support to IDPs, including </w:t>
      </w:r>
      <w:r w:rsidR="001D3BC1" w:rsidRPr="00022DEB">
        <w:rPr>
          <w:rFonts w:eastAsia="Times New Roman" w:cs="Tahoma"/>
          <w:spacing w:val="2"/>
          <w:lang w:val="en-GB"/>
        </w:rPr>
        <w:t>on covering rental costs</w:t>
      </w:r>
      <w:r w:rsidR="00A92013" w:rsidRPr="00022DEB">
        <w:rPr>
          <w:rFonts w:eastAsia="Times New Roman" w:cs="Tahoma"/>
          <w:spacing w:val="2"/>
          <w:lang w:val="en-GB"/>
        </w:rPr>
        <w:t xml:space="preserve">, remain available. </w:t>
      </w:r>
      <w:r w:rsidR="00E217E1" w:rsidRPr="00022DEB">
        <w:rPr>
          <w:rFonts w:eastAsia="Times New Roman" w:cs="Tahoma"/>
          <w:spacing w:val="2"/>
          <w:lang w:val="en-GB"/>
        </w:rPr>
        <w:t>The delegation was informed that</w:t>
      </w:r>
      <w:r w:rsidR="008342DE" w:rsidRPr="00022DEB">
        <w:rPr>
          <w:rFonts w:eastAsia="Times New Roman" w:cs="Tahoma"/>
          <w:spacing w:val="2"/>
          <w:lang w:val="en-GB"/>
        </w:rPr>
        <w:t xml:space="preserve"> over 2</w:t>
      </w:r>
      <w:r w:rsidR="00286717">
        <w:rPr>
          <w:rFonts w:eastAsia="Times New Roman" w:cs="Tahoma"/>
          <w:spacing w:val="2"/>
          <w:lang w:val="en-GB"/>
        </w:rPr>
        <w:t>,</w:t>
      </w:r>
      <w:r w:rsidR="008342DE" w:rsidRPr="00022DEB">
        <w:rPr>
          <w:rFonts w:eastAsia="Times New Roman" w:cs="Tahoma"/>
          <w:spacing w:val="2"/>
          <w:lang w:val="en-GB"/>
        </w:rPr>
        <w:t>000 IDP families benefitted from various support programmes in th</w:t>
      </w:r>
      <w:r w:rsidR="00E217E1" w:rsidRPr="00022DEB">
        <w:rPr>
          <w:rFonts w:eastAsia="Times New Roman" w:cs="Tahoma"/>
          <w:spacing w:val="2"/>
          <w:lang w:val="en-GB"/>
        </w:rPr>
        <w:t xml:space="preserve">e period October-December 2018. </w:t>
      </w:r>
      <w:r w:rsidR="00077414" w:rsidRPr="00022DEB">
        <w:rPr>
          <w:rFonts w:eastAsia="Times New Roman" w:cs="Tahoma"/>
          <w:spacing w:val="2"/>
          <w:lang w:val="en-GB"/>
        </w:rPr>
        <w:t>However, i</w:t>
      </w:r>
      <w:r w:rsidR="0017142C" w:rsidRPr="00022DEB">
        <w:rPr>
          <w:rFonts w:eastAsia="Times New Roman" w:cs="Tahoma"/>
          <w:spacing w:val="2"/>
          <w:lang w:val="en-GB"/>
        </w:rPr>
        <w:t xml:space="preserve">t was reported to the delegation that </w:t>
      </w:r>
      <w:r w:rsidR="00077414" w:rsidRPr="00022DEB">
        <w:rPr>
          <w:rFonts w:eastAsia="Times New Roman" w:cs="Tahoma"/>
          <w:spacing w:val="2"/>
          <w:lang w:val="en-GB"/>
        </w:rPr>
        <w:t>more than half of the IDPs (over 52</w:t>
      </w:r>
      <w:r w:rsidR="00286717">
        <w:rPr>
          <w:rFonts w:eastAsia="Times New Roman" w:cs="Tahoma"/>
          <w:spacing w:val="2"/>
          <w:lang w:val="en-GB"/>
        </w:rPr>
        <w:t>,</w:t>
      </w:r>
      <w:r w:rsidR="00077414" w:rsidRPr="00022DEB">
        <w:rPr>
          <w:rFonts w:eastAsia="Times New Roman" w:cs="Tahoma"/>
          <w:spacing w:val="2"/>
          <w:lang w:val="en-GB"/>
        </w:rPr>
        <w:t xml:space="preserve">000 </w:t>
      </w:r>
      <w:r w:rsidR="0017142C" w:rsidRPr="00022DEB">
        <w:rPr>
          <w:rFonts w:eastAsia="Times New Roman" w:cs="Tahoma"/>
          <w:spacing w:val="2"/>
          <w:lang w:val="en-GB"/>
        </w:rPr>
        <w:t>families</w:t>
      </w:r>
      <w:r w:rsidR="00077414" w:rsidRPr="00022DEB">
        <w:rPr>
          <w:rFonts w:eastAsia="Times New Roman" w:cs="Tahoma"/>
          <w:spacing w:val="2"/>
          <w:lang w:val="en-GB"/>
        </w:rPr>
        <w:t>)</w:t>
      </w:r>
      <w:r w:rsidR="0017142C" w:rsidRPr="00022DEB">
        <w:rPr>
          <w:rFonts w:eastAsia="Times New Roman" w:cs="Tahoma"/>
          <w:spacing w:val="2"/>
          <w:lang w:val="en-GB"/>
        </w:rPr>
        <w:t xml:space="preserve"> are still in need of a durable housing solution, </w:t>
      </w:r>
      <w:r w:rsidR="0017142C" w:rsidRPr="00022DEB">
        <w:rPr>
          <w:rFonts w:eastAsia="Times New Roman" w:cs="Tahoma"/>
          <w:spacing w:val="2"/>
          <w:lang w:val="en-GB"/>
        </w:rPr>
        <w:lastRenderedPageBreak/>
        <w:t xml:space="preserve">with large numbers </w:t>
      </w:r>
      <w:r w:rsidR="006F18BF" w:rsidRPr="00022DEB">
        <w:rPr>
          <w:rFonts w:eastAsia="Times New Roman" w:cs="Tahoma"/>
          <w:spacing w:val="2"/>
          <w:lang w:val="en-GB"/>
        </w:rPr>
        <w:t xml:space="preserve">reportedly </w:t>
      </w:r>
      <w:r w:rsidR="0017142C" w:rsidRPr="00022DEB">
        <w:rPr>
          <w:rFonts w:eastAsia="Times New Roman" w:cs="Tahoma"/>
          <w:spacing w:val="2"/>
          <w:lang w:val="en-GB"/>
        </w:rPr>
        <w:t>living in i</w:t>
      </w:r>
      <w:r w:rsidR="00901465" w:rsidRPr="00022DEB">
        <w:rPr>
          <w:rFonts w:eastAsia="Times New Roman" w:cs="Tahoma"/>
          <w:spacing w:val="2"/>
          <w:lang w:val="en-GB"/>
        </w:rPr>
        <w:t xml:space="preserve">nadequate </w:t>
      </w:r>
      <w:r w:rsidR="0017142C" w:rsidRPr="00022DEB">
        <w:rPr>
          <w:rFonts w:eastAsia="Times New Roman" w:cs="Tahoma"/>
          <w:spacing w:val="2"/>
          <w:lang w:val="en-GB"/>
        </w:rPr>
        <w:t>conditions in old collective centres</w:t>
      </w:r>
      <w:r w:rsidR="00901465" w:rsidRPr="00022DEB">
        <w:rPr>
          <w:rFonts w:eastAsia="Times New Roman" w:cs="Tahoma"/>
          <w:spacing w:val="2"/>
          <w:lang w:val="en-GB"/>
        </w:rPr>
        <w:t xml:space="preserve"> or private accommodation</w:t>
      </w:r>
      <w:r w:rsidR="0017142C" w:rsidRPr="00022DEB">
        <w:rPr>
          <w:rFonts w:eastAsia="Times New Roman" w:cs="Tahoma"/>
          <w:spacing w:val="2"/>
          <w:lang w:val="en-GB"/>
        </w:rPr>
        <w:t>.</w:t>
      </w:r>
      <w:r w:rsidR="00901465" w:rsidRPr="00022DEB">
        <w:rPr>
          <w:rFonts w:eastAsia="Times New Roman" w:cs="Tahoma"/>
          <w:spacing w:val="2"/>
          <w:lang w:val="en-GB"/>
        </w:rPr>
        <w:t xml:space="preserve"> </w:t>
      </w:r>
    </w:p>
    <w:p w:rsidR="00470245" w:rsidRPr="00022DEB" w:rsidRDefault="00470245" w:rsidP="00470245">
      <w:pPr>
        <w:pStyle w:val="ListParagraph"/>
        <w:ind w:left="0"/>
        <w:jc w:val="both"/>
        <w:rPr>
          <w:rFonts w:eastAsia="Times New Roman" w:cs="Tahoma"/>
          <w:spacing w:val="2"/>
          <w:lang w:val="en-GB"/>
        </w:rPr>
      </w:pPr>
    </w:p>
    <w:p w:rsidR="00E217E1" w:rsidRPr="00022DEB" w:rsidRDefault="00532501" w:rsidP="00470245">
      <w:pPr>
        <w:pStyle w:val="ListParagraph"/>
        <w:numPr>
          <w:ilvl w:val="0"/>
          <w:numId w:val="5"/>
        </w:numPr>
        <w:tabs>
          <w:tab w:val="clear" w:pos="360"/>
          <w:tab w:val="num" w:pos="0"/>
        </w:tabs>
        <w:ind w:left="0" w:firstLine="0"/>
        <w:jc w:val="both"/>
        <w:rPr>
          <w:rFonts w:eastAsia="Times New Roman" w:cs="Tahoma"/>
          <w:spacing w:val="2"/>
          <w:lang w:val="en-GB"/>
        </w:rPr>
      </w:pPr>
      <w:r w:rsidRPr="00022DEB">
        <w:rPr>
          <w:rFonts w:eastAsia="Times New Roman" w:cs="Tahoma"/>
          <w:spacing w:val="2"/>
          <w:lang w:val="en-GB"/>
        </w:rPr>
        <w:t>Strengthened efforts are also needed to address s</w:t>
      </w:r>
      <w:r w:rsidR="00E217E1" w:rsidRPr="00022DEB">
        <w:rPr>
          <w:rFonts w:eastAsia="Times New Roman" w:cs="Tahoma"/>
          <w:spacing w:val="2"/>
          <w:lang w:val="en-GB"/>
        </w:rPr>
        <w:t>o</w:t>
      </w:r>
      <w:r w:rsidRPr="00022DEB">
        <w:rPr>
          <w:rFonts w:eastAsia="Times New Roman" w:cs="Tahoma"/>
          <w:spacing w:val="2"/>
          <w:lang w:val="en-GB"/>
        </w:rPr>
        <w:t>cio-economic conditions of IDPs</w:t>
      </w:r>
      <w:r w:rsidR="00E217E1" w:rsidRPr="00022DEB">
        <w:rPr>
          <w:rFonts w:eastAsia="Times New Roman" w:cs="Tahoma"/>
          <w:spacing w:val="2"/>
          <w:lang w:val="en-GB"/>
        </w:rPr>
        <w:t>. While the IDP Livelihood Agency</w:t>
      </w:r>
      <w:r w:rsidR="00BE6CB9" w:rsidRPr="00022DEB">
        <w:rPr>
          <w:rFonts w:eastAsia="Times New Roman" w:cs="Tahoma"/>
          <w:spacing w:val="2"/>
          <w:lang w:val="en-GB"/>
        </w:rPr>
        <w:t>, under the MRA,</w:t>
      </w:r>
      <w:r w:rsidR="00E217E1" w:rsidRPr="00022DEB">
        <w:rPr>
          <w:rFonts w:eastAsia="Times New Roman" w:cs="Tahoma"/>
          <w:spacing w:val="2"/>
          <w:lang w:val="en-GB"/>
        </w:rPr>
        <w:t xml:space="preserve"> in co-operation with foreign donors continued to implement projects to increase</w:t>
      </w:r>
      <w:r w:rsidR="007E4D9E" w:rsidRPr="00022DEB">
        <w:rPr>
          <w:rFonts w:eastAsia="Times New Roman" w:cs="Tahoma"/>
          <w:spacing w:val="2"/>
          <w:lang w:val="en-GB"/>
        </w:rPr>
        <w:t xml:space="preserve"> </w:t>
      </w:r>
      <w:r w:rsidR="00E217E1" w:rsidRPr="00022DEB">
        <w:rPr>
          <w:rFonts w:eastAsia="Times New Roman" w:cs="Tahoma"/>
          <w:spacing w:val="2"/>
          <w:lang w:val="en-GB"/>
        </w:rPr>
        <w:t xml:space="preserve">IDPs’ economic </w:t>
      </w:r>
      <w:r w:rsidR="007E4D9E" w:rsidRPr="00022DEB">
        <w:rPr>
          <w:rFonts w:eastAsia="Times New Roman" w:cs="Tahoma"/>
          <w:spacing w:val="2"/>
          <w:lang w:val="en-GB"/>
        </w:rPr>
        <w:t>self-reliance</w:t>
      </w:r>
      <w:r w:rsidR="00E217E1" w:rsidRPr="00022DEB">
        <w:rPr>
          <w:rFonts w:eastAsia="Times New Roman" w:cs="Tahoma"/>
          <w:spacing w:val="2"/>
          <w:lang w:val="en-GB"/>
        </w:rPr>
        <w:t>, access to employ</w:t>
      </w:r>
      <w:r w:rsidR="0017142C" w:rsidRPr="00022DEB">
        <w:rPr>
          <w:rFonts w:eastAsia="Times New Roman" w:cs="Tahoma"/>
          <w:spacing w:val="2"/>
          <w:lang w:val="en-GB"/>
        </w:rPr>
        <w:t>ment and other income-generating opportunities</w:t>
      </w:r>
      <w:r w:rsidR="00E217E1" w:rsidRPr="00022DEB">
        <w:rPr>
          <w:rFonts w:eastAsia="Times New Roman" w:cs="Tahoma"/>
          <w:spacing w:val="2"/>
          <w:lang w:val="en-GB"/>
        </w:rPr>
        <w:t xml:space="preserve"> remain among the most pressing issues</w:t>
      </w:r>
      <w:r w:rsidR="00077414" w:rsidRPr="00022DEB">
        <w:rPr>
          <w:rFonts w:eastAsia="Times New Roman" w:cs="Tahoma"/>
          <w:spacing w:val="2"/>
          <w:lang w:val="en-GB"/>
        </w:rPr>
        <w:t xml:space="preserve"> faced by </w:t>
      </w:r>
      <w:r w:rsidRPr="00022DEB">
        <w:rPr>
          <w:rFonts w:eastAsia="Times New Roman" w:cs="Tahoma"/>
          <w:spacing w:val="2"/>
          <w:lang w:val="en-GB"/>
        </w:rPr>
        <w:t>displaced persons</w:t>
      </w:r>
      <w:r w:rsidR="00D03250" w:rsidRPr="00022DEB">
        <w:rPr>
          <w:rFonts w:eastAsia="Times New Roman" w:cs="Tahoma"/>
          <w:spacing w:val="2"/>
          <w:lang w:val="en-GB"/>
        </w:rPr>
        <w:t xml:space="preserve">. </w:t>
      </w:r>
      <w:r w:rsidR="00901465" w:rsidRPr="00022DEB">
        <w:rPr>
          <w:rFonts w:eastAsia="Times New Roman" w:cs="Tahoma"/>
          <w:spacing w:val="2"/>
          <w:lang w:val="en-GB"/>
        </w:rPr>
        <w:t>The scale of</w:t>
      </w:r>
      <w:r w:rsidR="00077414" w:rsidRPr="00022DEB">
        <w:rPr>
          <w:rFonts w:eastAsia="Times New Roman" w:cs="Tahoma"/>
          <w:spacing w:val="2"/>
          <w:lang w:val="en-GB"/>
        </w:rPr>
        <w:t xml:space="preserve"> </w:t>
      </w:r>
      <w:r w:rsidR="00901465" w:rsidRPr="00022DEB">
        <w:rPr>
          <w:rFonts w:eastAsia="Times New Roman" w:cs="Tahoma"/>
          <w:spacing w:val="2"/>
          <w:lang w:val="en-GB"/>
        </w:rPr>
        <w:t xml:space="preserve">needs is </w:t>
      </w:r>
      <w:r w:rsidR="00704E12" w:rsidRPr="00022DEB">
        <w:rPr>
          <w:rFonts w:eastAsia="Times New Roman" w:cs="Tahoma"/>
          <w:spacing w:val="2"/>
          <w:lang w:val="en-GB"/>
        </w:rPr>
        <w:t>compounded</w:t>
      </w:r>
      <w:r w:rsidR="00901465" w:rsidRPr="00022DEB">
        <w:rPr>
          <w:rFonts w:eastAsia="Times New Roman" w:cs="Tahoma"/>
          <w:spacing w:val="2"/>
          <w:lang w:val="en-GB"/>
        </w:rPr>
        <w:t xml:space="preserve"> by the </w:t>
      </w:r>
      <w:r w:rsidR="004C2222" w:rsidRPr="00022DEB">
        <w:rPr>
          <w:rFonts w:eastAsia="Times New Roman" w:cs="Tahoma"/>
          <w:spacing w:val="2"/>
          <w:lang w:val="en-GB"/>
        </w:rPr>
        <w:t>g</w:t>
      </w:r>
      <w:r w:rsidR="00E06019" w:rsidRPr="00022DEB">
        <w:rPr>
          <w:rFonts w:eastAsia="Times New Roman" w:cs="Tahoma"/>
          <w:spacing w:val="2"/>
          <w:lang w:val="en-GB"/>
        </w:rPr>
        <w:t>enerational</w:t>
      </w:r>
      <w:r w:rsidR="00347A32" w:rsidRPr="00022DEB">
        <w:rPr>
          <w:rFonts w:eastAsia="Times New Roman" w:cs="Tahoma"/>
          <w:spacing w:val="2"/>
          <w:lang w:val="en-GB"/>
        </w:rPr>
        <w:t xml:space="preserve"> a</w:t>
      </w:r>
      <w:r w:rsidR="00901465" w:rsidRPr="00022DEB">
        <w:rPr>
          <w:rFonts w:eastAsia="Times New Roman" w:cs="Tahoma"/>
          <w:spacing w:val="2"/>
          <w:lang w:val="en-GB"/>
        </w:rPr>
        <w:t>spect of internal displacement resulting in increased</w:t>
      </w:r>
      <w:r w:rsidR="006835AF" w:rsidRPr="00022DEB">
        <w:rPr>
          <w:rFonts w:eastAsia="Times New Roman" w:cs="Tahoma"/>
          <w:spacing w:val="2"/>
          <w:lang w:val="en-GB"/>
        </w:rPr>
        <w:t xml:space="preserve"> numbers of IDPs </w:t>
      </w:r>
      <w:r w:rsidR="004C2222" w:rsidRPr="00022DEB">
        <w:rPr>
          <w:rFonts w:eastAsia="Times New Roman" w:cs="Tahoma"/>
          <w:spacing w:val="2"/>
          <w:lang w:val="en-GB"/>
        </w:rPr>
        <w:t xml:space="preserve">due to </w:t>
      </w:r>
      <w:r w:rsidR="00901465" w:rsidRPr="00022DEB">
        <w:rPr>
          <w:rFonts w:eastAsia="Times New Roman" w:cs="Tahoma"/>
          <w:spacing w:val="2"/>
          <w:lang w:val="en-GB"/>
        </w:rPr>
        <w:t xml:space="preserve">the </w:t>
      </w:r>
      <w:r w:rsidR="00143BF8" w:rsidRPr="00022DEB">
        <w:rPr>
          <w:rFonts w:eastAsia="Times New Roman" w:cs="Tahoma"/>
          <w:spacing w:val="2"/>
          <w:lang w:val="en-GB"/>
        </w:rPr>
        <w:t>automatic in</w:t>
      </w:r>
      <w:r w:rsidR="00077414" w:rsidRPr="00022DEB">
        <w:rPr>
          <w:rFonts w:eastAsia="Times New Roman" w:cs="Tahoma"/>
          <w:spacing w:val="2"/>
          <w:lang w:val="en-GB"/>
        </w:rPr>
        <w:t>heritance of the status, as</w:t>
      </w:r>
      <w:r w:rsidR="00E7694E" w:rsidRPr="00022DEB">
        <w:rPr>
          <w:rFonts w:eastAsia="Times New Roman" w:cs="Tahoma"/>
          <w:spacing w:val="2"/>
          <w:lang w:val="en-GB"/>
        </w:rPr>
        <w:t xml:space="preserve"> </w:t>
      </w:r>
      <w:r w:rsidR="00901465" w:rsidRPr="00022DEB">
        <w:rPr>
          <w:rFonts w:eastAsia="Times New Roman" w:cs="Tahoma"/>
          <w:spacing w:val="2"/>
          <w:lang w:val="en-GB"/>
        </w:rPr>
        <w:t xml:space="preserve">well as </w:t>
      </w:r>
      <w:r w:rsidR="00E7694E" w:rsidRPr="00022DEB">
        <w:rPr>
          <w:rFonts w:eastAsia="Times New Roman" w:cs="Tahoma"/>
          <w:spacing w:val="2"/>
          <w:lang w:val="en-GB"/>
        </w:rPr>
        <w:t xml:space="preserve">inadequate </w:t>
      </w:r>
      <w:r w:rsidR="00901465" w:rsidRPr="00022DEB">
        <w:rPr>
          <w:rFonts w:eastAsia="Times New Roman" w:cs="Tahoma"/>
          <w:spacing w:val="2"/>
          <w:lang w:val="en-GB"/>
        </w:rPr>
        <w:t xml:space="preserve">funds. </w:t>
      </w:r>
      <w:r w:rsidR="00C94B50" w:rsidRPr="00022DEB">
        <w:rPr>
          <w:rFonts w:eastAsia="Times New Roman" w:cs="Tahoma"/>
          <w:spacing w:val="2"/>
          <w:lang w:val="en-GB"/>
        </w:rPr>
        <w:t>In this context, the government and donors have been encouraged t</w:t>
      </w:r>
      <w:r w:rsidR="00704E12" w:rsidRPr="00022DEB">
        <w:rPr>
          <w:rFonts w:eastAsia="Times New Roman" w:cs="Tahoma"/>
          <w:spacing w:val="2"/>
          <w:lang w:val="en-GB"/>
        </w:rPr>
        <w:t xml:space="preserve">o approach the question of durable solutions from both a humanitarian and </w:t>
      </w:r>
      <w:r w:rsidR="00F91C59" w:rsidRPr="00022DEB">
        <w:rPr>
          <w:rFonts w:eastAsia="Times New Roman" w:cs="Tahoma"/>
          <w:spacing w:val="2"/>
          <w:lang w:val="en-GB"/>
        </w:rPr>
        <w:t>development perspective.</w:t>
      </w:r>
    </w:p>
    <w:p w:rsidR="00901465" w:rsidRPr="00022DEB" w:rsidRDefault="00901465" w:rsidP="00901465">
      <w:pPr>
        <w:pStyle w:val="ListParagraph"/>
        <w:ind w:left="0"/>
        <w:jc w:val="both"/>
        <w:rPr>
          <w:rFonts w:eastAsia="Times New Roman" w:cs="Tahoma"/>
          <w:spacing w:val="2"/>
          <w:lang w:val="en-GB"/>
        </w:rPr>
      </w:pPr>
    </w:p>
    <w:p w:rsidR="00E1402B" w:rsidRPr="00022DEB" w:rsidRDefault="00E1402B" w:rsidP="00E1402B">
      <w:pPr>
        <w:pStyle w:val="ListParagraph"/>
        <w:numPr>
          <w:ilvl w:val="0"/>
          <w:numId w:val="5"/>
        </w:numPr>
        <w:tabs>
          <w:tab w:val="clear" w:pos="360"/>
          <w:tab w:val="num" w:pos="0"/>
        </w:tabs>
        <w:ind w:left="0" w:firstLine="0"/>
        <w:jc w:val="both"/>
        <w:rPr>
          <w:rFonts w:cs="Tahoma"/>
          <w:lang w:val="en-GB"/>
        </w:rPr>
      </w:pPr>
      <w:r w:rsidRPr="00022DEB">
        <w:rPr>
          <w:rFonts w:eastAsia="Times New Roman" w:cs="Tahoma"/>
          <w:spacing w:val="2"/>
          <w:lang w:val="en-GB"/>
        </w:rPr>
        <w:t>A</w:t>
      </w:r>
      <w:r w:rsidR="00470245" w:rsidRPr="00022DEB">
        <w:rPr>
          <w:rFonts w:eastAsia="Times New Roman" w:cs="Tahoma"/>
          <w:spacing w:val="2"/>
          <w:lang w:val="en-GB"/>
        </w:rPr>
        <w:t xml:space="preserve"> reform </w:t>
      </w:r>
      <w:r w:rsidR="00A413A6" w:rsidRPr="00022DEB">
        <w:rPr>
          <w:rFonts w:eastAsia="Times New Roman" w:cs="Tahoma"/>
          <w:spacing w:val="2"/>
          <w:lang w:val="en-GB"/>
        </w:rPr>
        <w:t xml:space="preserve">providing for the end </w:t>
      </w:r>
      <w:r w:rsidR="00470245" w:rsidRPr="00022DEB">
        <w:rPr>
          <w:rFonts w:eastAsia="Times New Roman" w:cs="Tahoma"/>
          <w:spacing w:val="2"/>
          <w:lang w:val="en-GB"/>
        </w:rPr>
        <w:t>of</w:t>
      </w:r>
      <w:r w:rsidR="00A413A6" w:rsidRPr="00022DEB">
        <w:rPr>
          <w:rFonts w:eastAsia="Times New Roman" w:cs="Tahoma"/>
          <w:spacing w:val="2"/>
          <w:lang w:val="en-GB"/>
        </w:rPr>
        <w:t xml:space="preserve"> the I</w:t>
      </w:r>
      <w:r w:rsidRPr="00022DEB">
        <w:rPr>
          <w:rFonts w:eastAsia="Times New Roman" w:cs="Tahoma"/>
          <w:spacing w:val="2"/>
          <w:lang w:val="en-GB"/>
        </w:rPr>
        <w:t xml:space="preserve">DP status and its inheritance </w:t>
      </w:r>
      <w:r w:rsidR="00704E12" w:rsidRPr="00022DEB">
        <w:rPr>
          <w:rFonts w:eastAsia="Times New Roman" w:cs="Tahoma"/>
          <w:spacing w:val="2"/>
          <w:lang w:val="en-GB"/>
        </w:rPr>
        <w:t>–</w:t>
      </w:r>
      <w:r w:rsidRPr="00022DEB">
        <w:rPr>
          <w:rFonts w:eastAsia="Times New Roman" w:cs="Tahoma"/>
          <w:spacing w:val="2"/>
          <w:lang w:val="en-GB"/>
        </w:rPr>
        <w:t xml:space="preserve"> </w:t>
      </w:r>
      <w:r w:rsidR="00704E12" w:rsidRPr="00022DEB">
        <w:rPr>
          <w:rFonts w:eastAsia="Times New Roman" w:cs="Tahoma"/>
          <w:spacing w:val="2"/>
          <w:lang w:val="en-GB"/>
        </w:rPr>
        <w:t xml:space="preserve">as </w:t>
      </w:r>
      <w:r w:rsidR="00470245" w:rsidRPr="00022DEB">
        <w:rPr>
          <w:rFonts w:eastAsia="Times New Roman" w:cs="Tahoma"/>
          <w:spacing w:val="2"/>
          <w:lang w:val="en-GB"/>
        </w:rPr>
        <w:t xml:space="preserve">recommended by </w:t>
      </w:r>
      <w:r w:rsidR="00704E12" w:rsidRPr="00022DEB">
        <w:rPr>
          <w:rFonts w:eastAsia="Times New Roman" w:cs="Tahoma"/>
          <w:spacing w:val="2"/>
          <w:lang w:val="en-GB"/>
        </w:rPr>
        <w:t>some international</w:t>
      </w:r>
      <w:r w:rsidRPr="00022DEB">
        <w:rPr>
          <w:rFonts w:eastAsia="Times New Roman" w:cs="Tahoma"/>
          <w:spacing w:val="2"/>
          <w:lang w:val="en-GB"/>
        </w:rPr>
        <w:t xml:space="preserve"> bodies – that would allow for</w:t>
      </w:r>
      <w:r w:rsidR="00363FAB" w:rsidRPr="00022DEB">
        <w:rPr>
          <w:rFonts w:eastAsia="Times New Roman" w:cs="Tahoma"/>
          <w:spacing w:val="2"/>
          <w:lang w:val="en-GB"/>
        </w:rPr>
        <w:t xml:space="preserve"> </w:t>
      </w:r>
      <w:r w:rsidRPr="00022DEB">
        <w:rPr>
          <w:rFonts w:eastAsia="Times New Roman" w:cs="Tahoma"/>
          <w:spacing w:val="2"/>
          <w:lang w:val="en-GB"/>
        </w:rPr>
        <w:t xml:space="preserve">more efficient targeting </w:t>
      </w:r>
      <w:r w:rsidR="00286717">
        <w:rPr>
          <w:rFonts w:eastAsia="Times New Roman" w:cs="Tahoma"/>
          <w:spacing w:val="2"/>
          <w:lang w:val="en-GB"/>
        </w:rPr>
        <w:t xml:space="preserve">of </w:t>
      </w:r>
      <w:r w:rsidRPr="00022DEB">
        <w:rPr>
          <w:rFonts w:eastAsia="Times New Roman" w:cs="Tahoma"/>
          <w:spacing w:val="2"/>
          <w:lang w:val="en-GB"/>
        </w:rPr>
        <w:t xml:space="preserve">those who still have clear displacement-related needs </w:t>
      </w:r>
      <w:r w:rsidR="00A413A6" w:rsidRPr="00022DEB">
        <w:rPr>
          <w:rFonts w:eastAsia="Times New Roman" w:cs="Tahoma"/>
          <w:spacing w:val="2"/>
          <w:lang w:val="en-GB"/>
        </w:rPr>
        <w:t xml:space="preserve">is not </w:t>
      </w:r>
      <w:r w:rsidRPr="00022DEB">
        <w:rPr>
          <w:rFonts w:eastAsia="Times New Roman" w:cs="Tahoma"/>
          <w:spacing w:val="2"/>
          <w:lang w:val="en-GB"/>
        </w:rPr>
        <w:t>under consideration. The delegation</w:t>
      </w:r>
      <w:r w:rsidR="00286717">
        <w:rPr>
          <w:rFonts w:eastAsia="Times New Roman" w:cs="Tahoma"/>
          <w:spacing w:val="2"/>
          <w:lang w:val="en-GB"/>
        </w:rPr>
        <w:t>’s</w:t>
      </w:r>
      <w:r w:rsidRPr="00022DEB">
        <w:rPr>
          <w:rFonts w:eastAsia="Times New Roman" w:cs="Tahoma"/>
          <w:spacing w:val="2"/>
          <w:lang w:val="en-GB"/>
        </w:rPr>
        <w:t xml:space="preserve"> interlocutors emphasised the strong value of the IDP status linked to the perspective of return. As previously reported</w:t>
      </w:r>
      <w:r w:rsidR="00704E12" w:rsidRPr="00022DEB">
        <w:rPr>
          <w:rFonts w:eastAsia="Times New Roman" w:cs="Tahoma"/>
          <w:spacing w:val="2"/>
          <w:lang w:val="en-GB"/>
        </w:rPr>
        <w:t>,</w:t>
      </w:r>
      <w:r w:rsidRPr="00022DEB">
        <w:rPr>
          <w:rFonts w:eastAsia="Times New Roman" w:cs="Tahoma"/>
          <w:spacing w:val="2"/>
          <w:lang w:val="en-GB"/>
        </w:rPr>
        <w:t xml:space="preserve"> the government is working instead on amendments to the law on IDPs that would see the</w:t>
      </w:r>
      <w:r w:rsidR="00A413A6" w:rsidRPr="00022DEB">
        <w:rPr>
          <w:rFonts w:eastAsia="Times New Roman" w:cs="Tahoma"/>
          <w:spacing w:val="2"/>
          <w:lang w:val="en-GB"/>
        </w:rPr>
        <w:t xml:space="preserve"> </w:t>
      </w:r>
      <w:r w:rsidR="00470245" w:rsidRPr="00022DEB">
        <w:rPr>
          <w:rFonts w:eastAsia="Times New Roman" w:cs="Tahoma"/>
          <w:spacing w:val="2"/>
          <w:lang w:val="en-GB"/>
        </w:rPr>
        <w:t xml:space="preserve">gradual </w:t>
      </w:r>
      <w:r w:rsidRPr="00022DEB">
        <w:rPr>
          <w:rFonts w:eastAsia="Times New Roman" w:cs="Tahoma"/>
          <w:spacing w:val="2"/>
          <w:lang w:val="en-GB"/>
        </w:rPr>
        <w:t xml:space="preserve">shift </w:t>
      </w:r>
      <w:r w:rsidR="00470245" w:rsidRPr="00022DEB">
        <w:rPr>
          <w:rFonts w:eastAsia="Times New Roman" w:cs="Tahoma"/>
          <w:spacing w:val="2"/>
          <w:lang w:val="en-GB"/>
        </w:rPr>
        <w:t xml:space="preserve">from status-based </w:t>
      </w:r>
      <w:r w:rsidR="00470245" w:rsidRPr="00802AA0">
        <w:rPr>
          <w:rFonts w:eastAsia="Times New Roman" w:cs="Tahoma"/>
          <w:spacing w:val="2"/>
          <w:lang w:val="en-GB"/>
        </w:rPr>
        <w:t>to needs-based</w:t>
      </w:r>
      <w:r w:rsidRPr="00802AA0">
        <w:rPr>
          <w:rFonts w:eastAsia="Times New Roman" w:cs="Tahoma"/>
          <w:spacing w:val="2"/>
          <w:lang w:val="en-GB"/>
        </w:rPr>
        <w:t xml:space="preserve"> state assistance to</w:t>
      </w:r>
      <w:r w:rsidRPr="00022DEB">
        <w:rPr>
          <w:rFonts w:eastAsia="Times New Roman" w:cs="Tahoma"/>
          <w:spacing w:val="2"/>
          <w:lang w:val="en-GB"/>
        </w:rPr>
        <w:t xml:space="preserve"> IDPs </w:t>
      </w:r>
      <w:r w:rsidR="00802AA0" w:rsidRPr="00802AA0">
        <w:rPr>
          <w:rFonts w:eastAsia="Times New Roman" w:cs="Tahoma"/>
          <w:spacing w:val="2"/>
          <w:lang w:val="en-GB"/>
        </w:rPr>
        <w:t>by</w:t>
      </w:r>
      <w:r w:rsidRPr="00802AA0">
        <w:rPr>
          <w:rFonts w:eastAsia="Times New Roman" w:cs="Tahoma"/>
          <w:spacing w:val="2"/>
          <w:lang w:val="en-GB"/>
        </w:rPr>
        <w:t xml:space="preserve"> mainstreaming it</w:t>
      </w:r>
      <w:r w:rsidRPr="00022DEB">
        <w:rPr>
          <w:rFonts w:eastAsia="Times New Roman" w:cs="Tahoma"/>
          <w:spacing w:val="2"/>
          <w:lang w:val="en-GB"/>
        </w:rPr>
        <w:t xml:space="preserve"> within the social welfare system</w:t>
      </w:r>
      <w:r w:rsidR="00363FAB" w:rsidRPr="00022DEB">
        <w:rPr>
          <w:rFonts w:eastAsia="Times New Roman" w:cs="Tahoma"/>
          <w:spacing w:val="2"/>
          <w:lang w:val="en-GB"/>
        </w:rPr>
        <w:t>.</w:t>
      </w:r>
      <w:r w:rsidRPr="00022DEB">
        <w:rPr>
          <w:rFonts w:eastAsia="Times New Roman" w:cs="Tahoma"/>
          <w:spacing w:val="2"/>
          <w:lang w:val="en-GB"/>
        </w:rPr>
        <w:t xml:space="preserve"> </w:t>
      </w:r>
    </w:p>
    <w:p w:rsidR="001345CF" w:rsidRPr="00022DEB" w:rsidRDefault="001345CF" w:rsidP="001345CF">
      <w:pPr>
        <w:pStyle w:val="ListParagraph"/>
        <w:ind w:left="0"/>
        <w:jc w:val="both"/>
        <w:rPr>
          <w:rFonts w:cs="Tahoma"/>
          <w:lang w:val="en-GB"/>
        </w:rPr>
      </w:pPr>
    </w:p>
    <w:p w:rsidR="00ED01BC" w:rsidRPr="00022DEB" w:rsidRDefault="00ED01BC" w:rsidP="00ED01BC">
      <w:pPr>
        <w:jc w:val="both"/>
        <w:rPr>
          <w:rFonts w:cs="Tahoma"/>
          <w:i/>
          <w:lang w:val="en-GB"/>
        </w:rPr>
      </w:pPr>
      <w:r w:rsidRPr="00022DEB">
        <w:rPr>
          <w:rFonts w:cs="Tahoma"/>
          <w:i/>
          <w:lang w:val="en-GB"/>
        </w:rPr>
        <w:t>IV</w:t>
      </w:r>
      <w:r w:rsidRPr="00022DEB">
        <w:rPr>
          <w:rFonts w:cs="Tahoma"/>
          <w:i/>
          <w:lang w:val="en-GB"/>
        </w:rPr>
        <w:tab/>
        <w:t>Activities of Council of Europe organs and institutions and their follow-up</w:t>
      </w:r>
    </w:p>
    <w:p w:rsidR="00ED01BC" w:rsidRPr="00022DEB" w:rsidRDefault="00ED01BC" w:rsidP="00ED01BC">
      <w:pPr>
        <w:jc w:val="both"/>
        <w:rPr>
          <w:rFonts w:cs="Tahoma"/>
          <w:i/>
          <w:lang w:val="en-GB"/>
        </w:rPr>
      </w:pPr>
    </w:p>
    <w:p w:rsidR="00ED01BC" w:rsidRPr="00022DEB" w:rsidRDefault="00ED01BC" w:rsidP="00ED01BC">
      <w:pPr>
        <w:jc w:val="both"/>
        <w:rPr>
          <w:rFonts w:cs="Tahoma"/>
          <w:i/>
          <w:lang w:val="en-GB"/>
        </w:rPr>
      </w:pPr>
      <w:r w:rsidRPr="00022DEB">
        <w:rPr>
          <w:rFonts w:cs="Tahoma"/>
          <w:i/>
          <w:lang w:val="en-GB"/>
        </w:rPr>
        <w:t>IV.1</w:t>
      </w:r>
      <w:r w:rsidRPr="00022DEB">
        <w:rPr>
          <w:rFonts w:cs="Tahoma"/>
          <w:i/>
          <w:lang w:val="en-GB"/>
        </w:rPr>
        <w:tab/>
        <w:t>Parliamentary Assembly of the Council of Europe</w:t>
      </w:r>
      <w:r w:rsidR="00044EC8" w:rsidRPr="00022DEB">
        <w:rPr>
          <w:rFonts w:cs="Tahoma"/>
          <w:i/>
          <w:lang w:val="en-GB"/>
        </w:rPr>
        <w:t xml:space="preserve"> (PACE)</w:t>
      </w:r>
      <w:r w:rsidRPr="00022DEB">
        <w:rPr>
          <w:rFonts w:cs="Tahoma"/>
          <w:i/>
          <w:lang w:val="en-GB"/>
        </w:rPr>
        <w:t xml:space="preserve"> </w:t>
      </w:r>
    </w:p>
    <w:p w:rsidR="00ED01BC" w:rsidRPr="00022DEB" w:rsidRDefault="00ED01BC" w:rsidP="006C4F8D">
      <w:pPr>
        <w:rPr>
          <w:rFonts w:cs="Tahoma"/>
          <w:lang w:val="en-GB"/>
        </w:rPr>
      </w:pPr>
    </w:p>
    <w:p w:rsidR="002946DC" w:rsidRPr="00022DEB" w:rsidRDefault="005F0662" w:rsidP="002946DC">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On 10 October 2018, the PACE adopted resolution 2240(2018) on “Unlimited access to member States, including </w:t>
      </w:r>
      <w:r w:rsidR="00FF04BF">
        <w:rPr>
          <w:rFonts w:cs="Tahoma"/>
          <w:bCs/>
          <w:lang w:val="en-GB"/>
        </w:rPr>
        <w:t>‘</w:t>
      </w:r>
      <w:r w:rsidRPr="00022DEB">
        <w:rPr>
          <w:rFonts w:cs="Tahoma"/>
          <w:bCs/>
          <w:lang w:val="en-GB"/>
        </w:rPr>
        <w:t>grey zones</w:t>
      </w:r>
      <w:r w:rsidR="00FF04BF">
        <w:rPr>
          <w:rFonts w:cs="Tahoma"/>
          <w:bCs/>
          <w:lang w:val="en-GB"/>
        </w:rPr>
        <w:t>’</w:t>
      </w:r>
      <w:r w:rsidRPr="00022DEB">
        <w:rPr>
          <w:rFonts w:cs="Tahoma"/>
          <w:bCs/>
          <w:lang w:val="en-GB"/>
        </w:rPr>
        <w:t>, by Council of Europe and United Nations human rights monitoring mechanisms”</w:t>
      </w:r>
      <w:r w:rsidR="00FF04BF">
        <w:rPr>
          <w:rFonts w:cs="Tahoma"/>
          <w:bCs/>
          <w:lang w:val="en-GB"/>
        </w:rPr>
        <w:t>.</w:t>
      </w:r>
    </w:p>
    <w:p w:rsidR="002946DC" w:rsidRPr="00022DEB" w:rsidRDefault="002946DC" w:rsidP="002946DC">
      <w:pPr>
        <w:pStyle w:val="ListParagraph"/>
        <w:ind w:left="0"/>
        <w:jc w:val="both"/>
        <w:rPr>
          <w:rFonts w:cs="Tahoma"/>
          <w:bCs/>
          <w:lang w:val="en-GB"/>
        </w:rPr>
      </w:pPr>
    </w:p>
    <w:p w:rsidR="002946DC" w:rsidRPr="00022DEB" w:rsidRDefault="002946DC" w:rsidP="002946DC">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 xml:space="preserve">PACE Co-rapporteurs for Georgia Kerstin Lundgren (Sweden, </w:t>
      </w:r>
      <w:r w:rsidR="00904474">
        <w:rPr>
          <w:rFonts w:cs="Tahoma"/>
          <w:bCs/>
          <w:lang w:val="en-GB"/>
        </w:rPr>
        <w:t>ALDE</w:t>
      </w:r>
      <w:r w:rsidRPr="00022DEB">
        <w:rPr>
          <w:rFonts w:cs="Tahoma"/>
          <w:bCs/>
          <w:lang w:val="en-GB"/>
        </w:rPr>
        <w:t xml:space="preserve">) and Titus </w:t>
      </w:r>
      <w:proofErr w:type="spellStart"/>
      <w:r w:rsidRPr="00022DEB">
        <w:rPr>
          <w:rFonts w:cs="Tahoma"/>
          <w:bCs/>
          <w:lang w:val="en-GB"/>
        </w:rPr>
        <w:t>Corlăţean</w:t>
      </w:r>
      <w:proofErr w:type="spellEnd"/>
      <w:r w:rsidRPr="00022DEB">
        <w:rPr>
          <w:rFonts w:cs="Tahoma"/>
          <w:bCs/>
          <w:lang w:val="en-GB"/>
        </w:rPr>
        <w:t xml:space="preserve"> (Romania, </w:t>
      </w:r>
      <w:r w:rsidR="00904474">
        <w:rPr>
          <w:rFonts w:cs="Tahoma"/>
          <w:bCs/>
          <w:lang w:val="en-GB"/>
        </w:rPr>
        <w:t>SOC</w:t>
      </w:r>
      <w:r w:rsidRPr="00022DEB">
        <w:rPr>
          <w:rFonts w:cs="Tahoma"/>
          <w:bCs/>
          <w:lang w:val="en-GB"/>
        </w:rPr>
        <w:t xml:space="preserve">) </w:t>
      </w:r>
      <w:r w:rsidR="00D02496" w:rsidRPr="00022DEB">
        <w:rPr>
          <w:rFonts w:cs="Tahoma"/>
          <w:bCs/>
          <w:lang w:val="en-GB"/>
        </w:rPr>
        <w:t>o</w:t>
      </w:r>
      <w:r w:rsidR="00D03250" w:rsidRPr="00022DEB">
        <w:rPr>
          <w:rFonts w:cs="Tahoma"/>
          <w:bCs/>
          <w:lang w:val="en-GB"/>
        </w:rPr>
        <w:t>n 16 November</w:t>
      </w:r>
      <w:r w:rsidR="00D02496" w:rsidRPr="00022DEB">
        <w:rPr>
          <w:rFonts w:cs="Tahoma"/>
          <w:bCs/>
          <w:lang w:val="en-GB"/>
        </w:rPr>
        <w:t xml:space="preserve"> 2018 </w:t>
      </w:r>
      <w:r w:rsidR="00D03250" w:rsidRPr="00022DEB">
        <w:rPr>
          <w:rFonts w:cs="Tahoma"/>
          <w:bCs/>
          <w:lang w:val="en-GB"/>
        </w:rPr>
        <w:t xml:space="preserve">issued a statement condemning the </w:t>
      </w:r>
      <w:proofErr w:type="spellStart"/>
      <w:r w:rsidR="00D03250" w:rsidRPr="00022DEB">
        <w:rPr>
          <w:rFonts w:cs="Tahoma"/>
          <w:bCs/>
          <w:lang w:val="en-GB"/>
        </w:rPr>
        <w:t>ongoing</w:t>
      </w:r>
      <w:proofErr w:type="spellEnd"/>
      <w:r w:rsidR="00D03250" w:rsidRPr="00022DEB">
        <w:rPr>
          <w:rFonts w:cs="Tahoma"/>
          <w:bCs/>
          <w:lang w:val="en-GB"/>
        </w:rPr>
        <w:t xml:space="preserve"> “</w:t>
      </w:r>
      <w:proofErr w:type="spellStart"/>
      <w:r w:rsidR="00D03250" w:rsidRPr="00022DEB">
        <w:rPr>
          <w:rFonts w:cs="Tahoma"/>
          <w:bCs/>
          <w:lang w:val="en-GB"/>
        </w:rPr>
        <w:t>borderisation</w:t>
      </w:r>
      <w:proofErr w:type="spellEnd"/>
      <w:r w:rsidR="00D03250" w:rsidRPr="00022DEB">
        <w:rPr>
          <w:rFonts w:cs="Tahoma"/>
          <w:bCs/>
          <w:lang w:val="en-GB"/>
        </w:rPr>
        <w:t>” of the ABL.</w:t>
      </w:r>
    </w:p>
    <w:p w:rsidR="005F0662" w:rsidRPr="00022DEB" w:rsidRDefault="005F0662" w:rsidP="009C0CF1">
      <w:pPr>
        <w:pStyle w:val="ListParagraph"/>
        <w:ind w:left="0"/>
        <w:jc w:val="both"/>
        <w:rPr>
          <w:rFonts w:cs="Tahoma"/>
          <w:bCs/>
          <w:lang w:val="en-GB"/>
        </w:rPr>
      </w:pPr>
    </w:p>
    <w:p w:rsidR="005640B2" w:rsidRPr="00022DEB" w:rsidRDefault="005F0662" w:rsidP="00EF2997">
      <w:pPr>
        <w:pStyle w:val="ListParagraph"/>
        <w:numPr>
          <w:ilvl w:val="0"/>
          <w:numId w:val="5"/>
        </w:numPr>
        <w:tabs>
          <w:tab w:val="clear" w:pos="360"/>
          <w:tab w:val="num" w:pos="0"/>
        </w:tabs>
        <w:ind w:left="0" w:firstLine="0"/>
        <w:jc w:val="both"/>
        <w:rPr>
          <w:rFonts w:cs="Tahoma"/>
          <w:bCs/>
          <w:lang w:val="en-GB"/>
        </w:rPr>
      </w:pPr>
      <w:r w:rsidRPr="00022DEB">
        <w:rPr>
          <w:rFonts w:cs="Tahoma"/>
          <w:bCs/>
          <w:lang w:val="en-GB"/>
        </w:rPr>
        <w:t>At its meeting on 24 January 2019, t</w:t>
      </w:r>
      <w:r w:rsidR="00EF2997" w:rsidRPr="00022DEB">
        <w:rPr>
          <w:rFonts w:cs="Tahoma"/>
          <w:bCs/>
          <w:lang w:val="en-GB"/>
        </w:rPr>
        <w:t xml:space="preserve">he Committee on Legal Affairs and Human Rights decided to discontinue work on its report on “the human rights situation in the occupied parts of Georgia”. </w:t>
      </w:r>
    </w:p>
    <w:p w:rsidR="00ED01BC" w:rsidRPr="00022DEB" w:rsidRDefault="00ED01BC" w:rsidP="005F0662">
      <w:pPr>
        <w:pStyle w:val="ListParagraph"/>
        <w:ind w:left="0"/>
        <w:jc w:val="both"/>
        <w:rPr>
          <w:rFonts w:cs="Tahoma"/>
          <w:bCs/>
          <w:lang w:val="en-GB"/>
        </w:rPr>
      </w:pPr>
    </w:p>
    <w:p w:rsidR="00ED01BC" w:rsidRPr="00022DEB" w:rsidRDefault="00740588" w:rsidP="009E2055">
      <w:pPr>
        <w:keepNext/>
        <w:tabs>
          <w:tab w:val="num" w:pos="0"/>
        </w:tabs>
        <w:jc w:val="both"/>
        <w:rPr>
          <w:rFonts w:cs="Tahoma"/>
          <w:i/>
          <w:lang w:val="en-GB"/>
        </w:rPr>
      </w:pPr>
      <w:r w:rsidRPr="00022DEB">
        <w:rPr>
          <w:rFonts w:cs="Tahoma"/>
          <w:i/>
          <w:lang w:val="en-GB"/>
        </w:rPr>
        <w:t>IV.2</w:t>
      </w:r>
      <w:r w:rsidR="00ED01BC" w:rsidRPr="00022DEB">
        <w:rPr>
          <w:rFonts w:cs="Tahoma"/>
          <w:i/>
          <w:lang w:val="en-GB"/>
        </w:rPr>
        <w:tab/>
        <w:t>Operational activities</w:t>
      </w:r>
    </w:p>
    <w:p w:rsidR="00ED01BC" w:rsidRPr="00022DEB" w:rsidRDefault="00ED01BC" w:rsidP="009E2055">
      <w:pPr>
        <w:keepNext/>
        <w:tabs>
          <w:tab w:val="num" w:pos="0"/>
        </w:tabs>
        <w:jc w:val="both"/>
        <w:rPr>
          <w:rFonts w:cs="Tahoma"/>
          <w:lang w:val="en-GB"/>
        </w:rPr>
      </w:pPr>
    </w:p>
    <w:p w:rsidR="00D31587" w:rsidRPr="00022DEB" w:rsidRDefault="00676080" w:rsidP="00F541A3">
      <w:pPr>
        <w:jc w:val="both"/>
        <w:rPr>
          <w:rFonts w:cs="Tahoma"/>
          <w:i/>
          <w:lang w:val="en-GB"/>
        </w:rPr>
      </w:pPr>
      <w:r w:rsidRPr="00022DEB">
        <w:rPr>
          <w:rFonts w:cs="Tahoma"/>
          <w:i/>
          <w:lang w:val="en-GB"/>
        </w:rPr>
        <w:t>DGII/Women’s rights</w:t>
      </w:r>
    </w:p>
    <w:p w:rsidR="002D30DB" w:rsidRPr="00022DEB" w:rsidRDefault="002D30DB" w:rsidP="002D30DB">
      <w:pPr>
        <w:autoSpaceDE w:val="0"/>
        <w:autoSpaceDN w:val="0"/>
        <w:adjustRightInd w:val="0"/>
        <w:jc w:val="both"/>
        <w:rPr>
          <w:rFonts w:cs="Tahoma"/>
          <w:lang w:val="en-GB"/>
        </w:rPr>
      </w:pPr>
    </w:p>
    <w:p w:rsidR="002D30DB" w:rsidRPr="00022DEB" w:rsidRDefault="00FF04BF" w:rsidP="00676080">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 xml:space="preserve">Georgia benefits from a project on preventing and </w:t>
      </w:r>
      <w:r w:rsidR="00F13661" w:rsidRPr="00022DEB">
        <w:rPr>
          <w:rFonts w:cs="Tahoma"/>
          <w:lang w:val="en-GB"/>
        </w:rPr>
        <w:t>c</w:t>
      </w:r>
      <w:r w:rsidR="00D44AFB" w:rsidRPr="00022DEB">
        <w:rPr>
          <w:rFonts w:cs="Tahoma"/>
          <w:lang w:val="en-GB"/>
        </w:rPr>
        <w:t>ombating violence against women</w:t>
      </w:r>
      <w:r>
        <w:rPr>
          <w:rFonts w:cs="Tahoma"/>
          <w:lang w:val="en-GB"/>
        </w:rPr>
        <w:t>,</w:t>
      </w:r>
      <w:r w:rsidR="00D44AFB" w:rsidRPr="00022DEB">
        <w:rPr>
          <w:rFonts w:cs="Tahoma"/>
          <w:lang w:val="en-GB"/>
        </w:rPr>
        <w:t xml:space="preserve"> </w:t>
      </w:r>
      <w:r w:rsidR="00F91C59" w:rsidRPr="00022DEB">
        <w:rPr>
          <w:rFonts w:cs="Tahoma"/>
          <w:lang w:val="en-GB"/>
        </w:rPr>
        <w:t>which also takes into account specific vulnerabilities of the conflict context and aims to increase the national capacity to implement the standards of the Council of Europe</w:t>
      </w:r>
      <w:r w:rsidR="00E11720">
        <w:rPr>
          <w:rFonts w:cs="Tahoma"/>
          <w:lang w:val="en-GB"/>
        </w:rPr>
        <w:t>’s</w:t>
      </w:r>
      <w:r w:rsidR="00F91C59" w:rsidRPr="00022DEB">
        <w:rPr>
          <w:rFonts w:cs="Tahoma"/>
          <w:lang w:val="en-GB"/>
        </w:rPr>
        <w:t xml:space="preserve"> Istanbul Convention. </w:t>
      </w:r>
      <w:r w:rsidR="00F13661" w:rsidRPr="00022DEB">
        <w:rPr>
          <w:rFonts w:cs="Tahoma"/>
          <w:lang w:val="en-GB"/>
        </w:rPr>
        <w:t xml:space="preserve">The project will run until the end of September 2019. It will strengthen the prosecution’s response to cases of violence against women and enhance the skills of legal professionals and the staff of the Public Defender’s Office when dealing with such cases. Georgia is also one of the </w:t>
      </w:r>
      <w:r w:rsidR="00F57DC5" w:rsidRPr="00022DEB">
        <w:rPr>
          <w:rFonts w:cs="Tahoma"/>
          <w:lang w:val="en-GB"/>
        </w:rPr>
        <w:t xml:space="preserve">EU </w:t>
      </w:r>
      <w:r w:rsidR="00F13661" w:rsidRPr="00022DEB">
        <w:rPr>
          <w:rFonts w:cs="Tahoma"/>
          <w:lang w:val="en-GB"/>
        </w:rPr>
        <w:t>Eastern Partnership countries involved in a regional project on facilitating access to justice for victims of violence against women.</w:t>
      </w:r>
    </w:p>
    <w:p w:rsidR="00ED01BC" w:rsidRPr="00022DEB" w:rsidRDefault="00ED01BC" w:rsidP="00ED01BC">
      <w:pPr>
        <w:autoSpaceDE w:val="0"/>
        <w:autoSpaceDN w:val="0"/>
        <w:adjustRightInd w:val="0"/>
        <w:jc w:val="both"/>
        <w:rPr>
          <w:rFonts w:cs="Tahoma"/>
          <w:lang w:val="en-GB"/>
        </w:rPr>
      </w:pPr>
    </w:p>
    <w:p w:rsidR="00ED01BC" w:rsidRPr="00022DEB" w:rsidRDefault="00ED01BC" w:rsidP="00AE3F5C">
      <w:pPr>
        <w:tabs>
          <w:tab w:val="num" w:pos="0"/>
        </w:tabs>
        <w:autoSpaceDE w:val="0"/>
        <w:autoSpaceDN w:val="0"/>
        <w:adjustRightInd w:val="0"/>
        <w:ind w:left="720" w:hanging="720"/>
        <w:jc w:val="both"/>
        <w:rPr>
          <w:rFonts w:cs="Tahoma"/>
          <w:i/>
          <w:lang w:val="en-GB"/>
        </w:rPr>
      </w:pPr>
      <w:r w:rsidRPr="00022DEB">
        <w:rPr>
          <w:rFonts w:cs="Tahoma"/>
          <w:i/>
          <w:lang w:val="en-GB"/>
        </w:rPr>
        <w:lastRenderedPageBreak/>
        <w:t>IV.</w:t>
      </w:r>
      <w:r w:rsidR="005327CB" w:rsidRPr="00022DEB">
        <w:rPr>
          <w:rFonts w:cs="Tahoma"/>
          <w:i/>
          <w:lang w:val="en-GB"/>
        </w:rPr>
        <w:t>3</w:t>
      </w:r>
      <w:r w:rsidRPr="00022DEB">
        <w:rPr>
          <w:rFonts w:cs="Tahoma"/>
          <w:i/>
          <w:lang w:val="en-GB"/>
        </w:rPr>
        <w:tab/>
        <w:t>Operational activities</w:t>
      </w:r>
      <w:r w:rsidR="00E11720">
        <w:rPr>
          <w:rFonts w:cs="Tahoma"/>
          <w:i/>
          <w:iCs/>
          <w:lang w:val="en-GB"/>
        </w:rPr>
        <w:t xml:space="preserve"> on c</w:t>
      </w:r>
      <w:r w:rsidRPr="00022DEB">
        <w:rPr>
          <w:rFonts w:cs="Tahoma"/>
          <w:i/>
          <w:iCs/>
          <w:lang w:val="en-GB"/>
        </w:rPr>
        <w:t>onfidence-</w:t>
      </w:r>
      <w:r w:rsidR="00E11720">
        <w:rPr>
          <w:rFonts w:cs="Tahoma"/>
          <w:i/>
          <w:iCs/>
          <w:lang w:val="en-GB"/>
        </w:rPr>
        <w:t>building m</w:t>
      </w:r>
      <w:r w:rsidRPr="00022DEB">
        <w:rPr>
          <w:rFonts w:cs="Tahoma"/>
          <w:i/>
          <w:iCs/>
          <w:lang w:val="en-GB"/>
        </w:rPr>
        <w:t xml:space="preserve">easures </w:t>
      </w:r>
      <w:r w:rsidR="00AE3F5C" w:rsidRPr="00022DEB">
        <w:rPr>
          <w:rFonts w:cs="Tahoma"/>
          <w:i/>
          <w:iCs/>
          <w:lang w:val="en-GB"/>
        </w:rPr>
        <w:t xml:space="preserve">(CBMs) </w:t>
      </w:r>
      <w:r w:rsidRPr="00022DEB">
        <w:rPr>
          <w:rFonts w:cs="Tahoma"/>
          <w:i/>
          <w:iCs/>
          <w:lang w:val="en-GB"/>
        </w:rPr>
        <w:t xml:space="preserve">and their </w:t>
      </w:r>
      <w:r w:rsidR="00AE3F5C" w:rsidRPr="00022DEB">
        <w:rPr>
          <w:rFonts w:cs="Tahoma"/>
          <w:i/>
          <w:iCs/>
          <w:lang w:val="en-GB"/>
        </w:rPr>
        <w:br/>
      </w:r>
      <w:r w:rsidRPr="00022DEB">
        <w:rPr>
          <w:rFonts w:cs="Tahoma"/>
          <w:i/>
          <w:iCs/>
          <w:lang w:val="en-GB"/>
        </w:rPr>
        <w:t xml:space="preserve">follow-up </w:t>
      </w:r>
    </w:p>
    <w:p w:rsidR="00ED01BC" w:rsidRPr="00022DEB" w:rsidRDefault="00ED01BC" w:rsidP="00ED01BC">
      <w:pPr>
        <w:jc w:val="both"/>
        <w:rPr>
          <w:rFonts w:cs="Tahoma"/>
          <w:lang w:val="en-GB"/>
        </w:rPr>
      </w:pPr>
    </w:p>
    <w:p w:rsidR="00ED01BC" w:rsidRPr="00022DEB" w:rsidRDefault="00ED01BC" w:rsidP="00ED01BC">
      <w:pPr>
        <w:pStyle w:val="ListParagraph"/>
        <w:numPr>
          <w:ilvl w:val="0"/>
          <w:numId w:val="34"/>
        </w:numPr>
        <w:ind w:left="0" w:firstLine="0"/>
        <w:jc w:val="both"/>
        <w:rPr>
          <w:rFonts w:cs="Tahoma"/>
          <w:i/>
          <w:lang w:val="en-GB"/>
        </w:rPr>
      </w:pPr>
      <w:r w:rsidRPr="00022DEB">
        <w:rPr>
          <w:rFonts w:cs="Tahoma"/>
          <w:i/>
          <w:lang w:val="en-GB"/>
        </w:rPr>
        <w:t>Activities organised during the reporting period</w:t>
      </w:r>
    </w:p>
    <w:p w:rsidR="00ED01BC" w:rsidRPr="00022DEB" w:rsidRDefault="00186907" w:rsidP="00ED01BC">
      <w:pPr>
        <w:autoSpaceDE w:val="0"/>
        <w:autoSpaceDN w:val="0"/>
        <w:adjustRightInd w:val="0"/>
        <w:jc w:val="both"/>
        <w:rPr>
          <w:rFonts w:cs="Tahoma"/>
          <w:lang w:val="en-GB"/>
        </w:rPr>
      </w:pPr>
      <w:r w:rsidRPr="00022DEB">
        <w:rPr>
          <w:rFonts w:cs="Tahoma"/>
          <w:lang w:val="en-GB"/>
        </w:rPr>
        <w:t xml:space="preserve"> </w:t>
      </w:r>
    </w:p>
    <w:p w:rsidR="00676080" w:rsidRPr="00022DEB" w:rsidRDefault="00961180" w:rsidP="00676080">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During the period under review, the Co</w:t>
      </w:r>
      <w:r w:rsidR="00E11720">
        <w:rPr>
          <w:rFonts w:cs="Tahoma"/>
          <w:lang w:val="en-GB"/>
        </w:rPr>
        <w:t xml:space="preserve">uncil of </w:t>
      </w:r>
      <w:r w:rsidRPr="00022DEB">
        <w:rPr>
          <w:rFonts w:cs="Tahoma"/>
          <w:lang w:val="en-GB"/>
        </w:rPr>
        <w:t>E</w:t>
      </w:r>
      <w:r w:rsidR="00E11720">
        <w:rPr>
          <w:rFonts w:cs="Tahoma"/>
          <w:lang w:val="en-GB"/>
        </w:rPr>
        <w:t>urope</w:t>
      </w:r>
      <w:r w:rsidRPr="00022DEB">
        <w:rPr>
          <w:rFonts w:cs="Tahoma"/>
          <w:lang w:val="en-GB"/>
        </w:rPr>
        <w:t xml:space="preserve"> continued the implementation</w:t>
      </w:r>
      <w:r w:rsidR="00E11720">
        <w:rPr>
          <w:rFonts w:cs="Tahoma"/>
          <w:lang w:val="en-GB"/>
        </w:rPr>
        <w:t xml:space="preserve"> of</w:t>
      </w:r>
      <w:r w:rsidR="00F57DC5" w:rsidRPr="00022DEB">
        <w:rPr>
          <w:rFonts w:cs="Tahoma"/>
          <w:lang w:val="en-GB"/>
        </w:rPr>
        <w:t xml:space="preserve"> </w:t>
      </w:r>
      <w:r w:rsidRPr="00022DEB">
        <w:rPr>
          <w:rFonts w:cs="Tahoma"/>
          <w:lang w:val="en-GB"/>
        </w:rPr>
        <w:t>CBMs under a politically neutral and impartial frame. CBM</w:t>
      </w:r>
      <w:r w:rsidR="009C0CF1" w:rsidRPr="00022DEB">
        <w:rPr>
          <w:rFonts w:cs="Tahoma"/>
          <w:lang w:val="en-GB"/>
        </w:rPr>
        <w:t xml:space="preserve"> activities</w:t>
      </w:r>
      <w:r w:rsidRPr="00022DEB">
        <w:rPr>
          <w:rFonts w:cs="Tahoma"/>
          <w:lang w:val="en-GB"/>
        </w:rPr>
        <w:t xml:space="preserve"> </w:t>
      </w:r>
      <w:r w:rsidR="00F57DC5" w:rsidRPr="00022DEB">
        <w:rPr>
          <w:rFonts w:cs="Tahoma"/>
          <w:lang w:val="en-GB"/>
        </w:rPr>
        <w:t xml:space="preserve">have continued to </w:t>
      </w:r>
      <w:r w:rsidR="009C0CF1" w:rsidRPr="00022DEB">
        <w:rPr>
          <w:rFonts w:cs="Tahoma"/>
          <w:lang w:val="en-GB"/>
        </w:rPr>
        <w:t>focus</w:t>
      </w:r>
      <w:r w:rsidR="00F57DC5" w:rsidRPr="00022DEB">
        <w:rPr>
          <w:rFonts w:cs="Tahoma"/>
          <w:lang w:val="en-GB"/>
        </w:rPr>
        <w:t xml:space="preserve"> </w:t>
      </w:r>
      <w:r w:rsidR="009C0CF1" w:rsidRPr="00022DEB">
        <w:rPr>
          <w:rFonts w:cs="Tahoma"/>
          <w:lang w:val="en-GB"/>
        </w:rPr>
        <w:t xml:space="preserve">on </w:t>
      </w:r>
      <w:r w:rsidRPr="00022DEB">
        <w:rPr>
          <w:rFonts w:cs="Tahoma"/>
          <w:lang w:val="en-GB"/>
        </w:rPr>
        <w:t>build</w:t>
      </w:r>
      <w:r w:rsidR="00F57DC5" w:rsidRPr="00022DEB">
        <w:rPr>
          <w:rFonts w:cs="Tahoma"/>
          <w:lang w:val="en-GB"/>
        </w:rPr>
        <w:t>ing</w:t>
      </w:r>
      <w:r w:rsidRPr="00022DEB">
        <w:rPr>
          <w:rFonts w:cs="Tahoma"/>
          <w:lang w:val="en-GB"/>
        </w:rPr>
        <w:t xml:space="preserve"> dialogue and trust between all parties involved, and </w:t>
      </w:r>
      <w:r w:rsidR="009C0CF1" w:rsidRPr="00022DEB">
        <w:rPr>
          <w:rFonts w:cs="Tahoma"/>
          <w:lang w:val="en-GB"/>
        </w:rPr>
        <w:t>on</w:t>
      </w:r>
      <w:r w:rsidR="00F57DC5" w:rsidRPr="00022DEB">
        <w:rPr>
          <w:rFonts w:cs="Tahoma"/>
          <w:lang w:val="en-GB"/>
        </w:rPr>
        <w:t xml:space="preserve"> </w:t>
      </w:r>
      <w:r w:rsidRPr="00022DEB">
        <w:rPr>
          <w:rFonts w:cs="Tahoma"/>
          <w:lang w:val="en-GB"/>
        </w:rPr>
        <w:t>support</w:t>
      </w:r>
      <w:r w:rsidR="00F57DC5" w:rsidRPr="00022DEB">
        <w:rPr>
          <w:rFonts w:cs="Tahoma"/>
          <w:lang w:val="en-GB"/>
        </w:rPr>
        <w:t>ing</w:t>
      </w:r>
      <w:r w:rsidRPr="00022DEB">
        <w:rPr>
          <w:rFonts w:cs="Tahoma"/>
          <w:lang w:val="en-GB"/>
        </w:rPr>
        <w:t xml:space="preserve"> the protection of human rights</w:t>
      </w:r>
      <w:r w:rsidR="001345CF" w:rsidRPr="00022DEB">
        <w:rPr>
          <w:rFonts w:cs="Tahoma"/>
          <w:lang w:val="en-GB"/>
        </w:rPr>
        <w:t xml:space="preserve"> of people from conflict-affected communities</w:t>
      </w:r>
      <w:r w:rsidRPr="00022DEB">
        <w:rPr>
          <w:rFonts w:cs="Tahoma"/>
          <w:lang w:val="en-GB"/>
        </w:rPr>
        <w:t xml:space="preserve">. </w:t>
      </w:r>
    </w:p>
    <w:p w:rsidR="00676080" w:rsidRPr="00022DEB" w:rsidRDefault="00676080" w:rsidP="00676080">
      <w:pPr>
        <w:autoSpaceDE w:val="0"/>
        <w:autoSpaceDN w:val="0"/>
        <w:adjustRightInd w:val="0"/>
        <w:jc w:val="both"/>
        <w:rPr>
          <w:rFonts w:cs="Tahoma"/>
          <w:lang w:val="en-GB"/>
        </w:rPr>
      </w:pPr>
    </w:p>
    <w:p w:rsidR="009F75AD" w:rsidRPr="00022DEB" w:rsidRDefault="00961180" w:rsidP="00676080">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All activities are identified jointly with relevant actors and are closely co-ordinated with the Georgia</w:t>
      </w:r>
      <w:r w:rsidR="00F57DC5" w:rsidRPr="00022DEB">
        <w:rPr>
          <w:rFonts w:cs="Tahoma"/>
          <w:lang w:val="en-GB"/>
        </w:rPr>
        <w:t>n authorities (SMR and MFA)</w:t>
      </w:r>
      <w:r w:rsidRPr="00022DEB">
        <w:rPr>
          <w:rFonts w:cs="Tahoma"/>
          <w:lang w:val="en-GB"/>
        </w:rPr>
        <w:t>, the UNDP Liaison Mechanism as well as international actors</w:t>
      </w:r>
      <w:r w:rsidR="00676080" w:rsidRPr="00022DEB">
        <w:rPr>
          <w:rFonts w:cs="Tahoma"/>
          <w:lang w:val="en-GB"/>
        </w:rPr>
        <w:t xml:space="preserve">. </w:t>
      </w:r>
      <w:r w:rsidRPr="00022DEB">
        <w:rPr>
          <w:rFonts w:cs="Tahoma"/>
          <w:lang w:val="en-GB"/>
        </w:rPr>
        <w:t xml:space="preserve">In meetings with the delegation, the representatives of </w:t>
      </w:r>
      <w:r w:rsidR="00FD2B24" w:rsidRPr="00022DEB">
        <w:rPr>
          <w:rFonts w:cs="Tahoma"/>
          <w:lang w:val="en-GB"/>
        </w:rPr>
        <w:t xml:space="preserve">the Georgian central government reiterated the importance of </w:t>
      </w:r>
      <w:r w:rsidR="00E11720">
        <w:rPr>
          <w:rFonts w:cs="Tahoma"/>
          <w:lang w:val="en-GB"/>
        </w:rPr>
        <w:t xml:space="preserve">the </w:t>
      </w:r>
      <w:r w:rsidR="00FD2B24" w:rsidRPr="00022DEB">
        <w:rPr>
          <w:rFonts w:cs="Tahoma"/>
          <w:lang w:val="en-GB"/>
        </w:rPr>
        <w:t>continuation of CBMs for the broader reconciliation process</w:t>
      </w:r>
      <w:r w:rsidR="00676080" w:rsidRPr="00022DEB">
        <w:rPr>
          <w:rFonts w:cs="Tahoma"/>
          <w:lang w:val="en-GB"/>
        </w:rPr>
        <w:t xml:space="preserve">. </w:t>
      </w:r>
    </w:p>
    <w:p w:rsidR="00706595" w:rsidRPr="00022DEB" w:rsidRDefault="00706595" w:rsidP="0090463B">
      <w:pPr>
        <w:jc w:val="both"/>
        <w:rPr>
          <w:rFonts w:cs="Tahoma"/>
          <w:i/>
          <w:lang w:val="en-GB"/>
        </w:rPr>
      </w:pPr>
    </w:p>
    <w:p w:rsidR="00ED01BC" w:rsidRPr="00022DEB" w:rsidRDefault="00ED01BC" w:rsidP="00ED01BC">
      <w:pPr>
        <w:ind w:firstLine="720"/>
        <w:jc w:val="both"/>
        <w:rPr>
          <w:rFonts w:cs="Tahoma"/>
          <w:i/>
          <w:lang w:val="en-GB"/>
        </w:rPr>
      </w:pPr>
      <w:r w:rsidRPr="00022DEB">
        <w:rPr>
          <w:rFonts w:cs="Tahoma"/>
          <w:i/>
          <w:lang w:val="en-GB"/>
        </w:rPr>
        <w:t>CBMs with Abkhazia</w:t>
      </w:r>
    </w:p>
    <w:p w:rsidR="00ED01BC" w:rsidRPr="00022DEB" w:rsidRDefault="00ED01BC" w:rsidP="00ED01BC">
      <w:pPr>
        <w:autoSpaceDE w:val="0"/>
        <w:autoSpaceDN w:val="0"/>
        <w:adjustRightInd w:val="0"/>
        <w:jc w:val="both"/>
        <w:rPr>
          <w:rFonts w:cs="Tahoma"/>
          <w:lang w:val="en-GB"/>
        </w:rPr>
      </w:pPr>
    </w:p>
    <w:p w:rsidR="00676080" w:rsidRPr="00022DEB" w:rsidRDefault="00FD2B24" w:rsidP="00FD2B24">
      <w:pPr>
        <w:numPr>
          <w:ilvl w:val="0"/>
          <w:numId w:val="5"/>
        </w:numPr>
        <w:tabs>
          <w:tab w:val="clear" w:pos="360"/>
        </w:tabs>
        <w:autoSpaceDE w:val="0"/>
        <w:autoSpaceDN w:val="0"/>
        <w:adjustRightInd w:val="0"/>
        <w:ind w:left="0" w:firstLine="0"/>
        <w:jc w:val="both"/>
        <w:rPr>
          <w:rFonts w:cs="Tahoma"/>
          <w:lang w:val="en-GB"/>
        </w:rPr>
      </w:pPr>
      <w:r w:rsidRPr="00022DEB">
        <w:rPr>
          <w:rFonts w:cs="Tahoma"/>
          <w:lang w:val="en-GB"/>
        </w:rPr>
        <w:t xml:space="preserve">Within the second phase of the project on archives materials on victims of the 1937-38 repressions in Abkhazia, historians and archive specialists from </w:t>
      </w:r>
      <w:r w:rsidR="00F57DC5" w:rsidRPr="00022DEB">
        <w:rPr>
          <w:rFonts w:cs="Tahoma"/>
          <w:lang w:val="en-GB"/>
        </w:rPr>
        <w:t xml:space="preserve">Tbilisi and </w:t>
      </w:r>
      <w:r w:rsidRPr="00022DEB">
        <w:rPr>
          <w:rFonts w:cs="Tahoma"/>
          <w:lang w:val="en-GB"/>
        </w:rPr>
        <w:t xml:space="preserve">Sukhumi </w:t>
      </w:r>
      <w:r w:rsidR="00933019" w:rsidRPr="00022DEB">
        <w:rPr>
          <w:rFonts w:cs="Tahoma"/>
          <w:lang w:val="en-GB"/>
        </w:rPr>
        <w:t>continued to work</w:t>
      </w:r>
      <w:r w:rsidRPr="00022DEB">
        <w:rPr>
          <w:rFonts w:cs="Tahoma"/>
          <w:lang w:val="en-GB"/>
        </w:rPr>
        <w:t xml:space="preserve"> on a series of historical events on which little information has so far been published, notably the 1931 </w:t>
      </w:r>
      <w:proofErr w:type="spellStart"/>
      <w:r w:rsidRPr="00022DEB">
        <w:rPr>
          <w:rFonts w:cs="Tahoma"/>
          <w:lang w:val="en-GB"/>
        </w:rPr>
        <w:t>Duripsch</w:t>
      </w:r>
      <w:proofErr w:type="spellEnd"/>
      <w:r w:rsidRPr="00022DEB">
        <w:rPr>
          <w:rFonts w:cs="Tahoma"/>
          <w:lang w:val="en-GB"/>
        </w:rPr>
        <w:t xml:space="preserve"> uprisings. During the reporting period, two meetings took place, in Venice</w:t>
      </w:r>
      <w:r w:rsidR="00BA765C" w:rsidRPr="00022DEB">
        <w:rPr>
          <w:rFonts w:cs="Tahoma"/>
          <w:lang w:val="en-GB"/>
        </w:rPr>
        <w:t>,</w:t>
      </w:r>
      <w:r w:rsidRPr="00022DEB">
        <w:rPr>
          <w:rFonts w:cs="Tahoma"/>
          <w:lang w:val="en-GB"/>
        </w:rPr>
        <w:t xml:space="preserve"> </w:t>
      </w:r>
      <w:r w:rsidR="00BA765C" w:rsidRPr="00022DEB">
        <w:rPr>
          <w:rFonts w:cs="Tahoma"/>
          <w:lang w:val="en-GB"/>
        </w:rPr>
        <w:t xml:space="preserve">Italy, on </w:t>
      </w:r>
      <w:r w:rsidRPr="00022DEB">
        <w:rPr>
          <w:rFonts w:cs="Tahoma"/>
          <w:lang w:val="en-GB"/>
        </w:rPr>
        <w:t>7-8 November 2</w:t>
      </w:r>
      <w:r w:rsidR="00BA765C" w:rsidRPr="00022DEB">
        <w:rPr>
          <w:rFonts w:cs="Tahoma"/>
          <w:lang w:val="en-GB"/>
        </w:rPr>
        <w:t>018,</w:t>
      </w:r>
      <w:r w:rsidRPr="00022DEB">
        <w:rPr>
          <w:rFonts w:cs="Tahoma"/>
          <w:lang w:val="en-GB"/>
        </w:rPr>
        <w:t xml:space="preserve"> and in Paris</w:t>
      </w:r>
      <w:r w:rsidR="00BA765C" w:rsidRPr="00022DEB">
        <w:rPr>
          <w:rFonts w:cs="Tahoma"/>
          <w:lang w:val="en-GB"/>
        </w:rPr>
        <w:t>, France, on 31 January-1 February 2019</w:t>
      </w:r>
      <w:r w:rsidRPr="00022DEB">
        <w:rPr>
          <w:rFonts w:cs="Tahoma"/>
          <w:lang w:val="en-GB"/>
        </w:rPr>
        <w:t xml:space="preserve">. Another meeting of the working group on archives is planned </w:t>
      </w:r>
      <w:r w:rsidR="00F57DC5" w:rsidRPr="00022DEB">
        <w:rPr>
          <w:rFonts w:cs="Tahoma"/>
          <w:lang w:val="en-GB"/>
        </w:rPr>
        <w:t>in</w:t>
      </w:r>
      <w:r w:rsidR="00BA765C" w:rsidRPr="00022DEB">
        <w:rPr>
          <w:rFonts w:cs="Tahoma"/>
          <w:lang w:val="en-GB"/>
        </w:rPr>
        <w:t xml:space="preserve"> May 2019 in Rome, Italy</w:t>
      </w:r>
      <w:r w:rsidRPr="00022DEB">
        <w:rPr>
          <w:rFonts w:cs="Tahoma"/>
          <w:lang w:val="en-GB"/>
        </w:rPr>
        <w:t>. It is planned to organise a publication on the “</w:t>
      </w:r>
      <w:r w:rsidRPr="00022DEB">
        <w:rPr>
          <w:rFonts w:cs="Tahoma"/>
          <w:i/>
          <w:lang w:val="en-GB"/>
        </w:rPr>
        <w:t xml:space="preserve">Anti-Soviet uprisings of 1931 in the village of </w:t>
      </w:r>
      <w:proofErr w:type="spellStart"/>
      <w:r w:rsidRPr="00022DEB">
        <w:rPr>
          <w:rFonts w:cs="Tahoma"/>
          <w:i/>
          <w:lang w:val="en-GB"/>
        </w:rPr>
        <w:t>Duripsh</w:t>
      </w:r>
      <w:proofErr w:type="spellEnd"/>
      <w:r w:rsidRPr="00022DEB">
        <w:rPr>
          <w:rFonts w:cs="Tahoma"/>
          <w:i/>
          <w:lang w:val="en-GB"/>
        </w:rPr>
        <w:t xml:space="preserve"> in the </w:t>
      </w:r>
      <w:proofErr w:type="spellStart"/>
      <w:r w:rsidRPr="00022DEB">
        <w:rPr>
          <w:rFonts w:cs="Tahoma"/>
          <w:i/>
          <w:lang w:val="en-GB"/>
        </w:rPr>
        <w:t>Gudauta</w:t>
      </w:r>
      <w:proofErr w:type="spellEnd"/>
      <w:r w:rsidRPr="00022DEB">
        <w:rPr>
          <w:rFonts w:cs="Tahoma"/>
          <w:i/>
          <w:lang w:val="en-GB"/>
        </w:rPr>
        <w:t xml:space="preserve"> district”</w:t>
      </w:r>
      <w:r w:rsidRPr="00022DEB">
        <w:rPr>
          <w:rFonts w:cs="Tahoma"/>
          <w:lang w:val="en-GB"/>
        </w:rPr>
        <w:t xml:space="preserve">, from the archives of the Ministry of the Interior of Georgia, complemented by photos from private collections in Abkhazia and newspaper articles. </w:t>
      </w:r>
    </w:p>
    <w:p w:rsidR="00676080" w:rsidRPr="00022DEB" w:rsidRDefault="00676080" w:rsidP="00711FEA">
      <w:pPr>
        <w:autoSpaceDE w:val="0"/>
        <w:autoSpaceDN w:val="0"/>
        <w:adjustRightInd w:val="0"/>
        <w:jc w:val="both"/>
        <w:rPr>
          <w:rFonts w:cs="Tahoma"/>
          <w:lang w:val="en-GB"/>
        </w:rPr>
      </w:pPr>
    </w:p>
    <w:p w:rsidR="00676080" w:rsidRPr="00022DEB" w:rsidRDefault="00FD2B24" w:rsidP="00FD2B24">
      <w:pPr>
        <w:numPr>
          <w:ilvl w:val="0"/>
          <w:numId w:val="5"/>
        </w:numPr>
        <w:tabs>
          <w:tab w:val="clear" w:pos="360"/>
        </w:tabs>
        <w:autoSpaceDE w:val="0"/>
        <w:autoSpaceDN w:val="0"/>
        <w:adjustRightInd w:val="0"/>
        <w:ind w:left="0" w:firstLine="0"/>
        <w:jc w:val="both"/>
        <w:rPr>
          <w:rFonts w:cs="Tahoma"/>
          <w:lang w:val="en-GB"/>
        </w:rPr>
      </w:pPr>
      <w:r w:rsidRPr="00022DEB">
        <w:rPr>
          <w:rFonts w:cs="Tahoma"/>
          <w:lang w:val="en-GB"/>
        </w:rPr>
        <w:t xml:space="preserve">Professionals from Tbilisi and Sukhumi </w:t>
      </w:r>
      <w:r w:rsidR="00F57DC5" w:rsidRPr="00022DEB">
        <w:rPr>
          <w:rFonts w:cs="Tahoma"/>
          <w:lang w:val="en-GB"/>
        </w:rPr>
        <w:t xml:space="preserve">have </w:t>
      </w:r>
      <w:r w:rsidR="00933019" w:rsidRPr="00022DEB">
        <w:rPr>
          <w:rFonts w:cs="Tahoma"/>
          <w:lang w:val="en-GB"/>
        </w:rPr>
        <w:t>engaged</w:t>
      </w:r>
      <w:r w:rsidRPr="00022DEB">
        <w:rPr>
          <w:rFonts w:cs="Tahoma"/>
          <w:lang w:val="en-GB"/>
        </w:rPr>
        <w:t xml:space="preserve"> </w:t>
      </w:r>
      <w:r w:rsidR="00933019" w:rsidRPr="00022DEB">
        <w:rPr>
          <w:rFonts w:cs="Tahoma"/>
          <w:lang w:val="en-GB"/>
        </w:rPr>
        <w:t>within the</w:t>
      </w:r>
      <w:r w:rsidRPr="00022DEB">
        <w:rPr>
          <w:rFonts w:cs="Tahoma"/>
          <w:lang w:val="en-GB"/>
        </w:rPr>
        <w:t xml:space="preserve"> programme on reinforcing drugs prevention and treatment capacities. </w:t>
      </w:r>
      <w:r w:rsidR="00933019" w:rsidRPr="00022DEB">
        <w:rPr>
          <w:rFonts w:cs="Tahoma"/>
          <w:lang w:val="en-GB"/>
        </w:rPr>
        <w:t>All participants have registered with the common digital workspace</w:t>
      </w:r>
      <w:r w:rsidRPr="00022DEB">
        <w:rPr>
          <w:rFonts w:cs="Tahoma"/>
          <w:lang w:val="en-GB"/>
        </w:rPr>
        <w:t xml:space="preserve"> </w:t>
      </w:r>
      <w:r w:rsidR="00933019" w:rsidRPr="00022DEB">
        <w:rPr>
          <w:rFonts w:cs="Tahoma"/>
          <w:lang w:val="en-GB"/>
        </w:rPr>
        <w:t>that</w:t>
      </w:r>
      <w:r w:rsidRPr="00022DEB">
        <w:rPr>
          <w:rFonts w:cs="Tahoma"/>
          <w:lang w:val="en-GB"/>
        </w:rPr>
        <w:t xml:space="preserve"> was developed and launched in the course of the summer 2018</w:t>
      </w:r>
      <w:r w:rsidR="00933019" w:rsidRPr="00022DEB">
        <w:rPr>
          <w:rFonts w:cs="Tahoma"/>
          <w:lang w:val="en-GB"/>
        </w:rPr>
        <w:t xml:space="preserve"> and has been extended throughout 2019 to enable </w:t>
      </w:r>
      <w:r w:rsidRPr="00022DEB">
        <w:rPr>
          <w:rFonts w:cs="Tahoma"/>
          <w:lang w:val="en-GB"/>
        </w:rPr>
        <w:t>discuss</w:t>
      </w:r>
      <w:r w:rsidR="00933019" w:rsidRPr="00022DEB">
        <w:rPr>
          <w:rFonts w:cs="Tahoma"/>
          <w:lang w:val="en-GB"/>
        </w:rPr>
        <w:t xml:space="preserve">ions on possible </w:t>
      </w:r>
      <w:r w:rsidRPr="00022DEB">
        <w:rPr>
          <w:rFonts w:cs="Tahoma"/>
          <w:lang w:val="en-GB"/>
        </w:rPr>
        <w:t xml:space="preserve">common </w:t>
      </w:r>
      <w:r w:rsidR="00933019" w:rsidRPr="00022DEB">
        <w:rPr>
          <w:rFonts w:cs="Tahoma"/>
          <w:lang w:val="en-GB"/>
        </w:rPr>
        <w:t>activities</w:t>
      </w:r>
      <w:r w:rsidRPr="00022DEB">
        <w:rPr>
          <w:rFonts w:cs="Tahoma"/>
          <w:lang w:val="en-GB"/>
        </w:rPr>
        <w:t xml:space="preserve"> in the field of drugs prevention. </w:t>
      </w:r>
    </w:p>
    <w:p w:rsidR="00676080" w:rsidRPr="00022DEB" w:rsidRDefault="00676080" w:rsidP="00711FEA">
      <w:pPr>
        <w:autoSpaceDE w:val="0"/>
        <w:autoSpaceDN w:val="0"/>
        <w:adjustRightInd w:val="0"/>
        <w:jc w:val="both"/>
        <w:rPr>
          <w:rFonts w:cs="Tahoma"/>
          <w:lang w:val="en-GB"/>
        </w:rPr>
      </w:pPr>
    </w:p>
    <w:p w:rsidR="00676080" w:rsidRPr="00022DEB" w:rsidRDefault="00933019" w:rsidP="00933019">
      <w:pPr>
        <w:numPr>
          <w:ilvl w:val="0"/>
          <w:numId w:val="5"/>
        </w:numPr>
        <w:tabs>
          <w:tab w:val="clear" w:pos="360"/>
        </w:tabs>
        <w:autoSpaceDE w:val="0"/>
        <w:autoSpaceDN w:val="0"/>
        <w:adjustRightInd w:val="0"/>
        <w:ind w:left="0" w:firstLine="0"/>
        <w:jc w:val="both"/>
        <w:rPr>
          <w:rFonts w:cs="Tahoma"/>
          <w:lang w:val="en-GB"/>
        </w:rPr>
      </w:pPr>
      <w:r w:rsidRPr="00022DEB">
        <w:rPr>
          <w:rFonts w:cs="Tahoma"/>
          <w:lang w:val="en-GB"/>
        </w:rPr>
        <w:t>A new project relating to health</w:t>
      </w:r>
      <w:r w:rsidR="00E11720">
        <w:rPr>
          <w:rFonts w:cs="Tahoma"/>
          <w:lang w:val="en-GB"/>
        </w:rPr>
        <w:t xml:space="preserve"> </w:t>
      </w:r>
      <w:r w:rsidRPr="00022DEB">
        <w:rPr>
          <w:rFonts w:cs="Tahoma"/>
          <w:lang w:val="en-GB"/>
        </w:rPr>
        <w:t xml:space="preserve">care and </w:t>
      </w:r>
      <w:r w:rsidR="0079226D" w:rsidRPr="00022DEB">
        <w:rPr>
          <w:rFonts w:cs="Tahoma"/>
          <w:lang w:val="en-GB"/>
        </w:rPr>
        <w:t>focusing</w:t>
      </w:r>
      <w:r w:rsidRPr="00022DEB">
        <w:rPr>
          <w:rFonts w:cs="Tahoma"/>
          <w:lang w:val="en-GB"/>
        </w:rPr>
        <w:t xml:space="preserve"> </w:t>
      </w:r>
      <w:r w:rsidR="0079226D" w:rsidRPr="00022DEB">
        <w:rPr>
          <w:rFonts w:cs="Tahoma"/>
          <w:lang w:val="en-GB"/>
        </w:rPr>
        <w:t>on</w:t>
      </w:r>
      <w:r w:rsidRPr="00022DEB">
        <w:rPr>
          <w:rFonts w:cs="Tahoma"/>
          <w:lang w:val="en-GB"/>
        </w:rPr>
        <w:t xml:space="preserve"> </w:t>
      </w:r>
      <w:r w:rsidR="00E11720">
        <w:rPr>
          <w:rFonts w:cs="Tahoma"/>
          <w:lang w:val="en-GB"/>
        </w:rPr>
        <w:t xml:space="preserve">the </w:t>
      </w:r>
      <w:r w:rsidRPr="00022DEB">
        <w:rPr>
          <w:rFonts w:cs="Tahoma"/>
          <w:lang w:val="en-GB"/>
        </w:rPr>
        <w:t xml:space="preserve">training of doctors </w:t>
      </w:r>
      <w:r w:rsidR="0079226D" w:rsidRPr="00022DEB">
        <w:rPr>
          <w:rFonts w:cs="Tahoma"/>
          <w:lang w:val="en-GB"/>
        </w:rPr>
        <w:t xml:space="preserve">in the </w:t>
      </w:r>
      <w:r w:rsidRPr="00022DEB">
        <w:rPr>
          <w:rFonts w:cs="Tahoma"/>
          <w:lang w:val="en-GB"/>
        </w:rPr>
        <w:t>treatment of tuberculosis and viral co-infections was launched in November 2018</w:t>
      </w:r>
      <w:r w:rsidR="0079226D" w:rsidRPr="00022DEB">
        <w:rPr>
          <w:rFonts w:cs="Tahoma"/>
          <w:lang w:val="en-GB"/>
        </w:rPr>
        <w:t xml:space="preserve">, </w:t>
      </w:r>
      <w:r w:rsidRPr="00022DEB">
        <w:rPr>
          <w:rFonts w:cs="Tahoma"/>
          <w:lang w:val="en-GB"/>
        </w:rPr>
        <w:t xml:space="preserve">in partnership with the French Embassy in Tbilisi and French doctors from the Paris region and the department of </w:t>
      </w:r>
      <w:r w:rsidR="001345CF" w:rsidRPr="00022DEB">
        <w:rPr>
          <w:rFonts w:cs="Tahoma"/>
          <w:lang w:val="en-GB"/>
        </w:rPr>
        <w:t xml:space="preserve">Yonne, </w:t>
      </w:r>
      <w:r w:rsidRPr="00022DEB">
        <w:rPr>
          <w:rFonts w:cs="Tahoma"/>
          <w:lang w:val="en-GB"/>
        </w:rPr>
        <w:t xml:space="preserve">who are already involved in a </w:t>
      </w:r>
      <w:r w:rsidR="0079226D" w:rsidRPr="00022DEB">
        <w:rPr>
          <w:rFonts w:cs="Tahoma"/>
          <w:lang w:val="en-GB"/>
        </w:rPr>
        <w:t xml:space="preserve">similar </w:t>
      </w:r>
      <w:r w:rsidRPr="00022DEB">
        <w:rPr>
          <w:rFonts w:cs="Tahoma"/>
          <w:lang w:val="en-GB"/>
        </w:rPr>
        <w:t>project</w:t>
      </w:r>
      <w:r w:rsidR="0079226D" w:rsidRPr="00022DEB">
        <w:rPr>
          <w:rFonts w:cs="Tahoma"/>
          <w:lang w:val="en-GB"/>
        </w:rPr>
        <w:t xml:space="preserve"> in the country</w:t>
      </w:r>
      <w:r w:rsidRPr="00022DEB">
        <w:rPr>
          <w:rFonts w:cs="Tahoma"/>
          <w:lang w:val="en-GB"/>
        </w:rPr>
        <w:t xml:space="preserve">. </w:t>
      </w:r>
      <w:r w:rsidR="0079226D" w:rsidRPr="00022DEB">
        <w:rPr>
          <w:rFonts w:cs="Tahoma"/>
          <w:lang w:val="en-GB"/>
        </w:rPr>
        <w:t>A</w:t>
      </w:r>
      <w:r w:rsidRPr="00022DEB">
        <w:rPr>
          <w:rFonts w:cs="Tahoma"/>
          <w:lang w:val="en-GB"/>
        </w:rPr>
        <w:t xml:space="preserve"> planning meeting with the participation of ten doctors coming from Tbilisi, </w:t>
      </w:r>
      <w:proofErr w:type="spellStart"/>
      <w:r w:rsidRPr="00022DEB">
        <w:rPr>
          <w:rFonts w:cs="Tahoma"/>
          <w:lang w:val="en-GB"/>
        </w:rPr>
        <w:t>Gurjaani</w:t>
      </w:r>
      <w:proofErr w:type="spellEnd"/>
      <w:r w:rsidRPr="00022DEB">
        <w:rPr>
          <w:rFonts w:cs="Tahoma"/>
          <w:lang w:val="en-GB"/>
        </w:rPr>
        <w:t xml:space="preserve"> and Sukhumi, as well as a group of French doctors</w:t>
      </w:r>
      <w:r w:rsidR="0079226D" w:rsidRPr="00022DEB">
        <w:rPr>
          <w:rFonts w:cs="Tahoma"/>
          <w:lang w:val="en-GB"/>
        </w:rPr>
        <w:t xml:space="preserve"> was organised in Paris on 26-27 November 2018</w:t>
      </w:r>
      <w:r w:rsidRPr="00022DEB">
        <w:rPr>
          <w:rFonts w:cs="Tahoma"/>
          <w:lang w:val="en-GB"/>
        </w:rPr>
        <w:t xml:space="preserve">. </w:t>
      </w:r>
      <w:r w:rsidR="0079226D" w:rsidRPr="00022DEB">
        <w:rPr>
          <w:rFonts w:cs="Tahoma"/>
          <w:lang w:val="en-GB"/>
        </w:rPr>
        <w:t>O</w:t>
      </w:r>
      <w:r w:rsidRPr="00022DEB">
        <w:rPr>
          <w:rFonts w:cs="Tahoma"/>
          <w:lang w:val="en-GB"/>
        </w:rPr>
        <w:t>n 11-14 February 2019</w:t>
      </w:r>
      <w:r w:rsidR="0079226D" w:rsidRPr="00022DEB">
        <w:rPr>
          <w:rFonts w:cs="Tahoma"/>
          <w:lang w:val="en-GB"/>
        </w:rPr>
        <w:t xml:space="preserve">, </w:t>
      </w:r>
      <w:r w:rsidR="00A10C0D" w:rsidRPr="00022DEB">
        <w:rPr>
          <w:rFonts w:cs="Tahoma"/>
          <w:lang w:val="en-GB"/>
        </w:rPr>
        <w:t>the same group</w:t>
      </w:r>
      <w:r w:rsidR="0079226D" w:rsidRPr="00022DEB">
        <w:rPr>
          <w:rFonts w:cs="Tahoma"/>
          <w:lang w:val="en-GB"/>
        </w:rPr>
        <w:t xml:space="preserve"> carried out a</w:t>
      </w:r>
      <w:r w:rsidRPr="00022DEB">
        <w:rPr>
          <w:rFonts w:cs="Tahoma"/>
          <w:lang w:val="en-GB"/>
        </w:rPr>
        <w:t xml:space="preserve"> joint study visit to major hospitals in Paris, as well as a penitentiary hospital in Fresnes. </w:t>
      </w:r>
      <w:r w:rsidR="0079226D" w:rsidRPr="00022DEB">
        <w:rPr>
          <w:rFonts w:cs="Tahoma"/>
          <w:lang w:val="en-GB"/>
        </w:rPr>
        <w:t xml:space="preserve">It is planned that </w:t>
      </w:r>
      <w:r w:rsidRPr="00022DEB">
        <w:rPr>
          <w:rFonts w:cs="Tahoma"/>
          <w:lang w:val="en-GB"/>
        </w:rPr>
        <w:t xml:space="preserve">French doctors </w:t>
      </w:r>
      <w:r w:rsidR="0079226D" w:rsidRPr="00022DEB">
        <w:rPr>
          <w:rFonts w:cs="Tahoma"/>
          <w:lang w:val="en-GB"/>
        </w:rPr>
        <w:t xml:space="preserve">will visit the </w:t>
      </w:r>
      <w:r w:rsidRPr="00022DEB">
        <w:rPr>
          <w:rFonts w:cs="Tahoma"/>
          <w:lang w:val="en-GB"/>
        </w:rPr>
        <w:t>main hospitals in Sukhumi and Tbilisi (or Batumi) in the course of the spring.</w:t>
      </w:r>
    </w:p>
    <w:p w:rsidR="00676080" w:rsidRPr="00022DEB" w:rsidRDefault="00676080" w:rsidP="00711FEA">
      <w:pPr>
        <w:autoSpaceDE w:val="0"/>
        <w:autoSpaceDN w:val="0"/>
        <w:adjustRightInd w:val="0"/>
        <w:jc w:val="both"/>
        <w:rPr>
          <w:rFonts w:cs="Tahoma"/>
          <w:lang w:val="en-GB"/>
        </w:rPr>
      </w:pPr>
    </w:p>
    <w:p w:rsidR="00BA765C" w:rsidRPr="00022DEB" w:rsidRDefault="00777F7F" w:rsidP="00BA765C">
      <w:pPr>
        <w:numPr>
          <w:ilvl w:val="0"/>
          <w:numId w:val="5"/>
        </w:numPr>
        <w:tabs>
          <w:tab w:val="clear" w:pos="360"/>
        </w:tabs>
        <w:autoSpaceDE w:val="0"/>
        <w:autoSpaceDN w:val="0"/>
        <w:adjustRightInd w:val="0"/>
        <w:ind w:left="0" w:firstLine="0"/>
        <w:jc w:val="both"/>
        <w:rPr>
          <w:rFonts w:cs="Tahoma"/>
          <w:lang w:val="en-GB"/>
        </w:rPr>
      </w:pPr>
      <w:r w:rsidRPr="00022DEB">
        <w:rPr>
          <w:rFonts w:cs="Tahoma"/>
          <w:lang w:val="en-GB"/>
        </w:rPr>
        <w:t xml:space="preserve">The </w:t>
      </w:r>
      <w:r w:rsidR="00820696" w:rsidRPr="00022DEB">
        <w:rPr>
          <w:rFonts w:cs="Tahoma"/>
          <w:lang w:val="en-GB"/>
        </w:rPr>
        <w:t>CBMs</w:t>
      </w:r>
      <w:r w:rsidR="00A10C0D" w:rsidRPr="00022DEB">
        <w:rPr>
          <w:rFonts w:cs="Tahoma"/>
          <w:lang w:val="en-GB"/>
        </w:rPr>
        <w:t xml:space="preserve"> </w:t>
      </w:r>
      <w:r w:rsidRPr="00022DEB">
        <w:rPr>
          <w:rFonts w:cs="Tahoma"/>
          <w:lang w:val="en-GB"/>
        </w:rPr>
        <w:t>facilitated the follow</w:t>
      </w:r>
      <w:r w:rsidR="001A378F">
        <w:rPr>
          <w:rFonts w:cs="Tahoma"/>
          <w:lang w:val="en-GB"/>
        </w:rPr>
        <w:t>-</w:t>
      </w:r>
      <w:r w:rsidRPr="00022DEB">
        <w:rPr>
          <w:rFonts w:cs="Tahoma"/>
          <w:lang w:val="en-GB"/>
        </w:rPr>
        <w:t xml:space="preserve">up to recommendations made by the participants of </w:t>
      </w:r>
      <w:r w:rsidR="00A10C0D" w:rsidRPr="00022DEB">
        <w:rPr>
          <w:rFonts w:cs="Tahoma"/>
          <w:lang w:val="en-GB"/>
        </w:rPr>
        <w:t xml:space="preserve">the </w:t>
      </w:r>
      <w:r w:rsidRPr="00022DEB">
        <w:rPr>
          <w:rFonts w:cs="Tahoma"/>
          <w:lang w:val="en-GB"/>
        </w:rPr>
        <w:t>first study visit on the topic of bilingual education in the Basque country</w:t>
      </w:r>
      <w:r w:rsidR="00BA765C" w:rsidRPr="00022DEB">
        <w:rPr>
          <w:rFonts w:cs="Tahoma"/>
          <w:lang w:val="en-GB"/>
        </w:rPr>
        <w:t xml:space="preserve">, </w:t>
      </w:r>
      <w:r w:rsidRPr="00022DEB">
        <w:rPr>
          <w:rFonts w:cs="Tahoma"/>
          <w:lang w:val="en-GB"/>
        </w:rPr>
        <w:t>Sp</w:t>
      </w:r>
      <w:r w:rsidR="00BA765C" w:rsidRPr="00022DEB">
        <w:rPr>
          <w:rFonts w:cs="Tahoma"/>
          <w:lang w:val="en-GB"/>
        </w:rPr>
        <w:t>ain,</w:t>
      </w:r>
      <w:r w:rsidRPr="00022DEB">
        <w:rPr>
          <w:rFonts w:cs="Tahoma"/>
          <w:lang w:val="en-GB"/>
        </w:rPr>
        <w:t xml:space="preserve"> from 31 May to 3 June 2017. It organised a second study visit in Wales, U</w:t>
      </w:r>
      <w:r w:rsidR="00A10C0D" w:rsidRPr="00022DEB">
        <w:rPr>
          <w:rFonts w:cs="Tahoma"/>
          <w:lang w:val="en-GB"/>
        </w:rPr>
        <w:t xml:space="preserve">nited </w:t>
      </w:r>
      <w:r w:rsidRPr="00022DEB">
        <w:rPr>
          <w:rFonts w:cs="Tahoma"/>
          <w:lang w:val="en-GB"/>
        </w:rPr>
        <w:t>K</w:t>
      </w:r>
      <w:r w:rsidR="00A10C0D" w:rsidRPr="00022DEB">
        <w:rPr>
          <w:rFonts w:cs="Tahoma"/>
          <w:lang w:val="en-GB"/>
        </w:rPr>
        <w:t>ingdom</w:t>
      </w:r>
      <w:r w:rsidRPr="00022DEB">
        <w:rPr>
          <w:rFonts w:cs="Tahoma"/>
          <w:lang w:val="en-GB"/>
        </w:rPr>
        <w:t>, from 21 to 24 January 2019, focusing on</w:t>
      </w:r>
      <w:r w:rsidR="001A378F">
        <w:rPr>
          <w:rFonts w:cs="Tahoma"/>
          <w:lang w:val="en-GB"/>
        </w:rPr>
        <w:t xml:space="preserve"> the </w:t>
      </w:r>
      <w:r w:rsidRPr="00022DEB">
        <w:rPr>
          <w:rFonts w:cs="Tahoma"/>
          <w:lang w:val="en-GB"/>
        </w:rPr>
        <w:t xml:space="preserve">impact of bilingual education on the safeguard of rare languages, based on the example of Wales. Proposals have been </w:t>
      </w:r>
      <w:r w:rsidR="00A10C0D" w:rsidRPr="00022DEB">
        <w:rPr>
          <w:rFonts w:cs="Tahoma"/>
          <w:lang w:val="en-GB"/>
        </w:rPr>
        <w:lastRenderedPageBreak/>
        <w:t xml:space="preserve">formulated </w:t>
      </w:r>
      <w:r w:rsidRPr="00022DEB">
        <w:rPr>
          <w:rFonts w:cs="Tahoma"/>
          <w:lang w:val="en-GB"/>
        </w:rPr>
        <w:t xml:space="preserve">to organise </w:t>
      </w:r>
      <w:r w:rsidR="001A378F">
        <w:rPr>
          <w:rFonts w:cs="Tahoma"/>
          <w:lang w:val="en-GB"/>
        </w:rPr>
        <w:t xml:space="preserve">the </w:t>
      </w:r>
      <w:r w:rsidRPr="00022DEB">
        <w:rPr>
          <w:rFonts w:cs="Tahoma"/>
          <w:lang w:val="en-GB"/>
        </w:rPr>
        <w:t>training of trainers (</w:t>
      </w:r>
      <w:proofErr w:type="spellStart"/>
      <w:r w:rsidRPr="00022DEB">
        <w:rPr>
          <w:rFonts w:cs="Tahoma"/>
          <w:lang w:val="en-GB"/>
        </w:rPr>
        <w:t>ToT</w:t>
      </w:r>
      <w:proofErr w:type="spellEnd"/>
      <w:r w:rsidRPr="00022DEB">
        <w:rPr>
          <w:rFonts w:cs="Tahoma"/>
          <w:lang w:val="en-GB"/>
        </w:rPr>
        <w:t xml:space="preserve">) in bilingual education as well as </w:t>
      </w:r>
      <w:r w:rsidR="00BA765C" w:rsidRPr="00022DEB">
        <w:rPr>
          <w:rFonts w:cs="Tahoma"/>
          <w:lang w:val="en-GB"/>
        </w:rPr>
        <w:t>to develop</w:t>
      </w:r>
      <w:r w:rsidRPr="00022DEB">
        <w:rPr>
          <w:rFonts w:cs="Tahoma"/>
          <w:lang w:val="en-GB"/>
        </w:rPr>
        <w:t xml:space="preserve"> school textbooks in </w:t>
      </w:r>
      <w:r w:rsidR="001A378F">
        <w:rPr>
          <w:rFonts w:cs="Tahoma"/>
          <w:lang w:val="en-GB"/>
        </w:rPr>
        <w:t xml:space="preserve">the </w:t>
      </w:r>
      <w:r w:rsidRPr="00022DEB">
        <w:rPr>
          <w:rFonts w:cs="Tahoma"/>
          <w:lang w:val="en-GB"/>
        </w:rPr>
        <w:t>Abkhaz language.</w:t>
      </w:r>
      <w:r w:rsidR="00BA765C" w:rsidRPr="00022DEB">
        <w:rPr>
          <w:rFonts w:cs="Tahoma"/>
          <w:lang w:val="en-GB"/>
        </w:rPr>
        <w:t xml:space="preserve"> </w:t>
      </w:r>
    </w:p>
    <w:p w:rsidR="00BA765C" w:rsidRPr="00022DEB" w:rsidRDefault="00BA765C" w:rsidP="00BA765C">
      <w:pPr>
        <w:pStyle w:val="ListParagraph"/>
        <w:rPr>
          <w:rFonts w:cs="Tahoma"/>
          <w:lang w:val="en-GB"/>
        </w:rPr>
      </w:pPr>
    </w:p>
    <w:p w:rsidR="00676080" w:rsidRDefault="00BA765C" w:rsidP="00BA765C">
      <w:pPr>
        <w:numPr>
          <w:ilvl w:val="0"/>
          <w:numId w:val="5"/>
        </w:numPr>
        <w:tabs>
          <w:tab w:val="clear" w:pos="360"/>
        </w:tabs>
        <w:autoSpaceDE w:val="0"/>
        <w:autoSpaceDN w:val="0"/>
        <w:adjustRightInd w:val="0"/>
        <w:ind w:left="0" w:firstLine="0"/>
        <w:jc w:val="both"/>
        <w:rPr>
          <w:rFonts w:cs="Tahoma"/>
          <w:lang w:val="en-GB"/>
        </w:rPr>
      </w:pPr>
      <w:r w:rsidRPr="00022DEB">
        <w:rPr>
          <w:rFonts w:cs="Tahoma"/>
          <w:lang w:val="en-GB"/>
        </w:rPr>
        <w:t xml:space="preserve">In the media field, young journalists from South Caucasus are being trained in writing/conflict reporting, photography and video production/documentary filmmaking. Two training sessions involving eleven young reporters from different parts of the Caucasus </w:t>
      </w:r>
      <w:r w:rsidR="001A378F">
        <w:rPr>
          <w:rFonts w:cs="Tahoma"/>
          <w:lang w:val="en-GB"/>
        </w:rPr>
        <w:t xml:space="preserve">have </w:t>
      </w:r>
      <w:r w:rsidRPr="00022DEB">
        <w:rPr>
          <w:rFonts w:cs="Tahoma"/>
          <w:lang w:val="en-GB"/>
        </w:rPr>
        <w:t>already t</w:t>
      </w:r>
      <w:r w:rsidR="001A378F">
        <w:rPr>
          <w:rFonts w:cs="Tahoma"/>
          <w:lang w:val="en-GB"/>
        </w:rPr>
        <w:t>aken</w:t>
      </w:r>
      <w:r w:rsidRPr="00022DEB">
        <w:rPr>
          <w:rFonts w:cs="Tahoma"/>
          <w:lang w:val="en-GB"/>
        </w:rPr>
        <w:t xml:space="preserve"> place in Istanbul, Turkey</w:t>
      </w:r>
      <w:r w:rsidR="001A378F">
        <w:rPr>
          <w:rFonts w:cs="Tahoma"/>
          <w:lang w:val="en-GB"/>
        </w:rPr>
        <w:t>,</w:t>
      </w:r>
      <w:r w:rsidRPr="00022DEB">
        <w:rPr>
          <w:rFonts w:cs="Tahoma"/>
          <w:lang w:val="en-GB"/>
        </w:rPr>
        <w:t xml:space="preserve"> on 14-16 October 2018, and Sarajevo, B</w:t>
      </w:r>
      <w:r w:rsidR="00820696" w:rsidRPr="00022DEB">
        <w:rPr>
          <w:rFonts w:cs="Tahoma"/>
          <w:lang w:val="en-GB"/>
        </w:rPr>
        <w:t xml:space="preserve">osnia and </w:t>
      </w:r>
      <w:r w:rsidRPr="00022DEB">
        <w:rPr>
          <w:rFonts w:cs="Tahoma"/>
          <w:lang w:val="en-GB"/>
        </w:rPr>
        <w:t>H</w:t>
      </w:r>
      <w:r w:rsidR="00820696" w:rsidRPr="00022DEB">
        <w:rPr>
          <w:rFonts w:cs="Tahoma"/>
          <w:lang w:val="en-GB"/>
        </w:rPr>
        <w:t>erzegovina</w:t>
      </w:r>
      <w:r w:rsidRPr="00022DEB">
        <w:rPr>
          <w:rFonts w:cs="Tahoma"/>
          <w:lang w:val="en-GB"/>
        </w:rPr>
        <w:t>, on 14-16 December 2018.</w:t>
      </w:r>
    </w:p>
    <w:p w:rsidR="00380DE3" w:rsidRDefault="00380DE3" w:rsidP="002B728B">
      <w:pPr>
        <w:pStyle w:val="ListParagraph"/>
        <w:ind w:hanging="720"/>
        <w:rPr>
          <w:rFonts w:cs="Tahoma"/>
          <w:lang w:val="en-GB"/>
        </w:rPr>
      </w:pPr>
    </w:p>
    <w:p w:rsidR="00ED01BC" w:rsidRPr="00022DEB" w:rsidRDefault="00ED01BC" w:rsidP="001A378F">
      <w:pPr>
        <w:keepNext/>
        <w:keepLines/>
        <w:ind w:firstLine="720"/>
        <w:jc w:val="both"/>
        <w:rPr>
          <w:rFonts w:cs="Tahoma"/>
          <w:i/>
          <w:lang w:val="en-GB"/>
        </w:rPr>
      </w:pPr>
      <w:r w:rsidRPr="00022DEB">
        <w:rPr>
          <w:rFonts w:cs="Tahoma"/>
          <w:i/>
          <w:lang w:val="en-GB"/>
        </w:rPr>
        <w:t>CBMs with South Ossetia</w:t>
      </w:r>
    </w:p>
    <w:p w:rsidR="00ED01BC" w:rsidRPr="00022DEB" w:rsidRDefault="00ED01BC" w:rsidP="002B728B">
      <w:pPr>
        <w:pStyle w:val="ListParagraph"/>
        <w:ind w:hanging="720"/>
        <w:rPr>
          <w:rFonts w:cs="Tahoma"/>
          <w:lang w:val="en-GB"/>
        </w:rPr>
      </w:pPr>
    </w:p>
    <w:p w:rsidR="00B32845" w:rsidRPr="00022DEB" w:rsidRDefault="00711FEA" w:rsidP="001A378F">
      <w:pPr>
        <w:keepNext/>
        <w:keepLines/>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 xml:space="preserve">Various factors, not least </w:t>
      </w:r>
      <w:r w:rsidR="00B32845" w:rsidRPr="00022DEB">
        <w:rPr>
          <w:rFonts w:cs="Tahoma"/>
          <w:lang w:val="en-GB"/>
        </w:rPr>
        <w:t xml:space="preserve">stringent conditions of </w:t>
      </w:r>
      <w:r w:rsidRPr="00022DEB">
        <w:rPr>
          <w:rFonts w:cs="Tahoma"/>
          <w:lang w:val="en-GB"/>
        </w:rPr>
        <w:t xml:space="preserve">access </w:t>
      </w:r>
      <w:r w:rsidR="00B32845" w:rsidRPr="00022DEB">
        <w:rPr>
          <w:rFonts w:cs="Tahoma"/>
          <w:lang w:val="en-GB"/>
        </w:rPr>
        <w:t xml:space="preserve">for </w:t>
      </w:r>
      <w:r w:rsidR="001A378F">
        <w:rPr>
          <w:rFonts w:cs="Tahoma"/>
          <w:lang w:val="en-GB"/>
        </w:rPr>
        <w:t xml:space="preserve">the </w:t>
      </w:r>
      <w:r w:rsidR="00B32845" w:rsidRPr="00022DEB">
        <w:rPr>
          <w:rFonts w:cs="Tahoma"/>
          <w:lang w:val="en-GB"/>
        </w:rPr>
        <w:t xml:space="preserve">international community </w:t>
      </w:r>
      <w:r w:rsidRPr="00022DEB">
        <w:rPr>
          <w:rFonts w:cs="Tahoma"/>
          <w:lang w:val="en-GB"/>
        </w:rPr>
        <w:t>to South Ossetia, continue</w:t>
      </w:r>
      <w:r w:rsidR="00B32845" w:rsidRPr="00022DEB">
        <w:rPr>
          <w:rFonts w:cs="Tahoma"/>
          <w:lang w:val="en-GB"/>
        </w:rPr>
        <w:t>d</w:t>
      </w:r>
      <w:r w:rsidRPr="00022DEB">
        <w:rPr>
          <w:rFonts w:cs="Tahoma"/>
          <w:lang w:val="en-GB"/>
        </w:rPr>
        <w:t xml:space="preserve"> to prevent a meaningful involvement of participants </w:t>
      </w:r>
      <w:r w:rsidR="009C07E2" w:rsidRPr="00022DEB">
        <w:rPr>
          <w:rFonts w:cs="Tahoma"/>
          <w:lang w:val="en-GB"/>
        </w:rPr>
        <w:t xml:space="preserve">from Tskhinvali </w:t>
      </w:r>
      <w:r w:rsidRPr="00022DEB">
        <w:rPr>
          <w:rFonts w:cs="Tahoma"/>
          <w:lang w:val="en-GB"/>
        </w:rPr>
        <w:t xml:space="preserve">in the CBM programme. </w:t>
      </w:r>
      <w:r w:rsidR="00B32845" w:rsidRPr="00022DEB">
        <w:rPr>
          <w:rFonts w:cs="Tahoma"/>
          <w:lang w:val="en-GB"/>
        </w:rPr>
        <w:t xml:space="preserve">The Secretariat was </w:t>
      </w:r>
      <w:r w:rsidR="007C7F50" w:rsidRPr="00022DEB">
        <w:rPr>
          <w:rFonts w:cs="Tahoma"/>
          <w:lang w:val="en-GB"/>
        </w:rPr>
        <w:t xml:space="preserve">consequently </w:t>
      </w:r>
      <w:r w:rsidR="00B32845" w:rsidRPr="00022DEB">
        <w:rPr>
          <w:rFonts w:cs="Tahoma"/>
          <w:lang w:val="en-GB"/>
        </w:rPr>
        <w:t>unable to obtain access in order to develop and implement CBMs</w:t>
      </w:r>
      <w:r w:rsidR="007C7F50" w:rsidRPr="00022DEB">
        <w:rPr>
          <w:rFonts w:cs="Tahoma"/>
          <w:lang w:val="en-GB"/>
        </w:rPr>
        <w:t xml:space="preserve"> during the reporting period.</w:t>
      </w:r>
    </w:p>
    <w:p w:rsidR="003359F3" w:rsidRPr="00022DEB" w:rsidRDefault="003359F3" w:rsidP="001A378F">
      <w:pPr>
        <w:keepNext/>
        <w:keepLines/>
        <w:autoSpaceDE w:val="0"/>
        <w:autoSpaceDN w:val="0"/>
        <w:adjustRightInd w:val="0"/>
        <w:jc w:val="both"/>
        <w:rPr>
          <w:rFonts w:cs="Tahoma"/>
          <w:lang w:val="en-GB"/>
        </w:rPr>
      </w:pPr>
    </w:p>
    <w:p w:rsidR="00ED01BC" w:rsidRPr="00022DEB" w:rsidRDefault="00ED01BC" w:rsidP="00ED01BC">
      <w:pPr>
        <w:jc w:val="both"/>
        <w:rPr>
          <w:rFonts w:cs="Tahoma"/>
          <w:i/>
          <w:lang w:val="en-GB"/>
        </w:rPr>
      </w:pPr>
      <w:r w:rsidRPr="00022DEB">
        <w:rPr>
          <w:rFonts w:cs="Tahoma"/>
          <w:i/>
          <w:lang w:val="en-GB"/>
        </w:rPr>
        <w:t xml:space="preserve">(b) </w:t>
      </w:r>
      <w:r w:rsidR="00AD500A" w:rsidRPr="00022DEB">
        <w:rPr>
          <w:rFonts w:cs="Tahoma"/>
          <w:i/>
          <w:lang w:val="en-GB"/>
        </w:rPr>
        <w:tab/>
      </w:r>
      <w:r w:rsidRPr="00022DEB">
        <w:rPr>
          <w:rFonts w:cs="Tahoma"/>
          <w:i/>
          <w:lang w:val="en-GB"/>
        </w:rPr>
        <w:t>Plans for further action</w:t>
      </w:r>
    </w:p>
    <w:p w:rsidR="00ED01BC" w:rsidRPr="00022DEB" w:rsidRDefault="00ED01BC" w:rsidP="00ED01BC">
      <w:pPr>
        <w:autoSpaceDE w:val="0"/>
        <w:autoSpaceDN w:val="0"/>
        <w:adjustRightInd w:val="0"/>
        <w:jc w:val="both"/>
        <w:rPr>
          <w:rFonts w:cs="Tahoma"/>
          <w:lang w:val="en-GB"/>
        </w:rPr>
      </w:pPr>
    </w:p>
    <w:p w:rsidR="00031591" w:rsidRPr="00022DEB" w:rsidRDefault="00A93267" w:rsidP="00E82E79">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P</w:t>
      </w:r>
      <w:r w:rsidR="003359F3" w:rsidRPr="00022DEB">
        <w:rPr>
          <w:rFonts w:cs="Tahoma"/>
          <w:lang w:val="en-GB"/>
        </w:rPr>
        <w:t xml:space="preserve">roposals for several initiatives are currently under discussion with the Georgian </w:t>
      </w:r>
      <w:r w:rsidR="00D7071B" w:rsidRPr="00022DEB">
        <w:rPr>
          <w:rFonts w:cs="Tahoma"/>
          <w:lang w:val="en-GB"/>
        </w:rPr>
        <w:t xml:space="preserve">central government </w:t>
      </w:r>
      <w:r w:rsidR="003359F3" w:rsidRPr="00022DEB">
        <w:rPr>
          <w:rFonts w:cs="Tahoma"/>
          <w:lang w:val="en-GB"/>
        </w:rPr>
        <w:t xml:space="preserve">and stakeholders in Sukhumi (via the Liaison Mechanism). </w:t>
      </w:r>
      <w:r w:rsidR="00E82E79" w:rsidRPr="00022DEB">
        <w:rPr>
          <w:rFonts w:cs="Tahoma"/>
          <w:lang w:val="en-GB"/>
        </w:rPr>
        <w:t xml:space="preserve">The non-exhaustive list below outlines some of the </w:t>
      </w:r>
      <w:r w:rsidR="00820696" w:rsidRPr="00022DEB">
        <w:rPr>
          <w:rFonts w:cs="Tahoma"/>
          <w:lang w:val="en-GB"/>
        </w:rPr>
        <w:t xml:space="preserve">proposed </w:t>
      </w:r>
      <w:r w:rsidR="00E82E79" w:rsidRPr="00022DEB">
        <w:rPr>
          <w:rFonts w:cs="Tahoma"/>
          <w:lang w:val="en-GB"/>
        </w:rPr>
        <w:t xml:space="preserve">activities. In order to maintain </w:t>
      </w:r>
      <w:r w:rsidR="001A378F">
        <w:rPr>
          <w:rFonts w:cs="Tahoma"/>
          <w:lang w:val="en-GB"/>
        </w:rPr>
        <w:t xml:space="preserve">an </w:t>
      </w:r>
      <w:r w:rsidR="00E82E79" w:rsidRPr="00022DEB">
        <w:rPr>
          <w:rFonts w:cs="Tahoma"/>
          <w:lang w:val="en-GB"/>
        </w:rPr>
        <w:t xml:space="preserve">appropriate level of contact between professionals across dividing lines, as well as </w:t>
      </w:r>
      <w:r w:rsidR="00820696" w:rsidRPr="00022DEB">
        <w:rPr>
          <w:rFonts w:cs="Tahoma"/>
          <w:lang w:val="en-GB"/>
        </w:rPr>
        <w:t xml:space="preserve">to </w:t>
      </w:r>
      <w:r w:rsidR="00E82E79" w:rsidRPr="00022DEB">
        <w:rPr>
          <w:rFonts w:cs="Tahoma"/>
          <w:lang w:val="en-GB"/>
        </w:rPr>
        <w:t>step up the efforts of dialogu</w:t>
      </w:r>
      <w:r w:rsidR="001A378F">
        <w:rPr>
          <w:rFonts w:cs="Tahoma"/>
          <w:lang w:val="en-GB"/>
        </w:rPr>
        <w:t>e in different domains, the CBM</w:t>
      </w:r>
      <w:r w:rsidR="00E82E79" w:rsidRPr="00022DEB">
        <w:rPr>
          <w:rFonts w:cs="Tahoma"/>
          <w:lang w:val="en-GB"/>
        </w:rPr>
        <w:t xml:space="preserve"> programme will require adequate resourcing. While a voluntary contribution under the Action Plan enabled the implementation</w:t>
      </w:r>
      <w:r w:rsidR="00820696" w:rsidRPr="00022DEB">
        <w:rPr>
          <w:rFonts w:cs="Tahoma"/>
          <w:lang w:val="en-GB"/>
        </w:rPr>
        <w:t xml:space="preserve"> of the CBMs in 2018</w:t>
      </w:r>
      <w:r w:rsidR="00E82E79" w:rsidRPr="00022DEB">
        <w:rPr>
          <w:rFonts w:cs="Tahoma"/>
          <w:lang w:val="en-GB"/>
        </w:rPr>
        <w:t xml:space="preserve">, funding needs remain for 2019.  </w:t>
      </w:r>
    </w:p>
    <w:p w:rsidR="003359F3" w:rsidRPr="00022DEB" w:rsidRDefault="003359F3" w:rsidP="003359F3">
      <w:pPr>
        <w:autoSpaceDE w:val="0"/>
        <w:autoSpaceDN w:val="0"/>
        <w:adjustRightInd w:val="0"/>
        <w:jc w:val="both"/>
        <w:rPr>
          <w:rFonts w:cs="Tahoma"/>
          <w:lang w:val="en-GB"/>
        </w:rPr>
      </w:pPr>
    </w:p>
    <w:p w:rsidR="00A93267" w:rsidRPr="00022DEB" w:rsidRDefault="00A93267" w:rsidP="00A93267">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 xml:space="preserve">As regards the archives project, professionals from Tbilisi and Sukhumi have already started working on a third publication, focusing on missing members of armed forces during </w:t>
      </w:r>
      <w:r w:rsidR="00820696" w:rsidRPr="00022DEB">
        <w:rPr>
          <w:rFonts w:cs="Tahoma"/>
          <w:lang w:val="en-GB"/>
        </w:rPr>
        <w:t>World War II</w:t>
      </w:r>
      <w:r w:rsidRPr="00022DEB">
        <w:rPr>
          <w:rFonts w:cs="Tahoma"/>
          <w:lang w:val="en-GB"/>
        </w:rPr>
        <w:t>. The presentation of this publication</w:t>
      </w:r>
      <w:r w:rsidR="002915EB">
        <w:rPr>
          <w:rFonts w:cs="Tahoma"/>
          <w:lang w:val="en-GB"/>
        </w:rPr>
        <w:t>,</w:t>
      </w:r>
      <w:r w:rsidRPr="00022DEB">
        <w:rPr>
          <w:rFonts w:cs="Tahoma"/>
          <w:lang w:val="en-GB"/>
        </w:rPr>
        <w:t xml:space="preserve"> along with the one mentioned above</w:t>
      </w:r>
      <w:r w:rsidR="002915EB">
        <w:rPr>
          <w:rFonts w:cs="Tahoma"/>
          <w:lang w:val="en-GB"/>
        </w:rPr>
        <w:t>,</w:t>
      </w:r>
      <w:r w:rsidRPr="00022DEB">
        <w:rPr>
          <w:rFonts w:cs="Tahoma"/>
          <w:lang w:val="en-GB"/>
        </w:rPr>
        <w:t xml:space="preserve"> is planned </w:t>
      </w:r>
      <w:r w:rsidR="00820696" w:rsidRPr="00022DEB">
        <w:rPr>
          <w:rFonts w:cs="Tahoma"/>
          <w:lang w:val="en-GB"/>
        </w:rPr>
        <w:t>in</w:t>
      </w:r>
      <w:r w:rsidRPr="00022DEB">
        <w:rPr>
          <w:rFonts w:cs="Tahoma"/>
          <w:lang w:val="en-GB"/>
        </w:rPr>
        <w:t xml:space="preserve"> October in both Tbilisi</w:t>
      </w:r>
      <w:r w:rsidR="00820696" w:rsidRPr="00022DEB">
        <w:rPr>
          <w:rFonts w:cs="Tahoma"/>
          <w:lang w:val="en-GB"/>
        </w:rPr>
        <w:t xml:space="preserve"> and Sukhumi</w:t>
      </w:r>
      <w:r w:rsidRPr="00022DEB">
        <w:rPr>
          <w:rFonts w:cs="Tahoma"/>
          <w:lang w:val="en-GB"/>
        </w:rPr>
        <w:t xml:space="preserve">. </w:t>
      </w:r>
    </w:p>
    <w:p w:rsidR="00A93267" w:rsidRPr="00022DEB" w:rsidRDefault="00A93267" w:rsidP="00A93267">
      <w:pPr>
        <w:pStyle w:val="ListParagraph"/>
        <w:rPr>
          <w:rFonts w:cs="Tahoma"/>
          <w:lang w:val="en-GB"/>
        </w:rPr>
      </w:pPr>
    </w:p>
    <w:p w:rsidR="00BA3AB7" w:rsidRPr="00022DEB" w:rsidRDefault="00A93267" w:rsidP="00BA3AB7">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In the framework of the drugs prevention and treatment programme</w:t>
      </w:r>
      <w:r w:rsidR="00737391" w:rsidRPr="00022DEB">
        <w:rPr>
          <w:rFonts w:cs="Tahoma"/>
          <w:lang w:val="en-GB"/>
        </w:rPr>
        <w:t xml:space="preserve"> a meeting will be organised in </w:t>
      </w:r>
      <w:r w:rsidR="002915EB">
        <w:rPr>
          <w:rFonts w:cs="Tahoma"/>
          <w:lang w:val="en-GB"/>
        </w:rPr>
        <w:t xml:space="preserve">the </w:t>
      </w:r>
      <w:r w:rsidR="00737391" w:rsidRPr="00022DEB">
        <w:rPr>
          <w:rFonts w:cs="Tahoma"/>
          <w:lang w:val="en-GB"/>
        </w:rPr>
        <w:t>autumn to take stock of the discussions in the digital common workspace and decide on concrete actions</w:t>
      </w:r>
      <w:r w:rsidRPr="00022DEB">
        <w:rPr>
          <w:rFonts w:cs="Tahoma"/>
          <w:lang w:val="en-GB"/>
        </w:rPr>
        <w:t xml:space="preserve"> </w:t>
      </w:r>
      <w:r w:rsidR="00737391" w:rsidRPr="00022DEB">
        <w:rPr>
          <w:rFonts w:cs="Tahoma"/>
          <w:lang w:val="en-GB"/>
        </w:rPr>
        <w:t>for next year</w:t>
      </w:r>
      <w:r w:rsidRPr="00022DEB">
        <w:rPr>
          <w:rFonts w:cs="Tahoma"/>
          <w:lang w:val="en-GB"/>
        </w:rPr>
        <w:t xml:space="preserve">. Furthermore, </w:t>
      </w:r>
      <w:r w:rsidR="00737391" w:rsidRPr="00022DEB">
        <w:rPr>
          <w:rFonts w:cs="Tahoma"/>
          <w:bCs/>
          <w:lang w:val="en-GB"/>
        </w:rPr>
        <w:t xml:space="preserve">in </w:t>
      </w:r>
      <w:r w:rsidR="00737391" w:rsidRPr="00022DEB">
        <w:rPr>
          <w:rFonts w:cs="Tahoma"/>
          <w:lang w:val="en-GB"/>
        </w:rPr>
        <w:t>2019, specialists from Tbilisi and Sukhumi will continue to participate</w:t>
      </w:r>
      <w:r w:rsidRPr="00022DEB">
        <w:rPr>
          <w:rFonts w:cs="Tahoma"/>
          <w:lang w:val="en-GB"/>
        </w:rPr>
        <w:t xml:space="preserve"> in the Executive Training on Drug Policy of the Pompid</w:t>
      </w:r>
      <w:r w:rsidR="00737391" w:rsidRPr="00022DEB">
        <w:rPr>
          <w:rFonts w:cs="Tahoma"/>
          <w:lang w:val="en-GB"/>
        </w:rPr>
        <w:t xml:space="preserve">ou Group focusing on </w:t>
      </w:r>
      <w:r w:rsidRPr="00022DEB">
        <w:rPr>
          <w:rFonts w:cs="Tahoma"/>
          <w:bCs/>
          <w:lang w:val="en-GB"/>
        </w:rPr>
        <w:t>gender dimensions</w:t>
      </w:r>
      <w:r w:rsidRPr="00022DEB">
        <w:rPr>
          <w:rFonts w:cs="Tahoma"/>
          <w:lang w:val="en-GB"/>
        </w:rPr>
        <w:t xml:space="preserve">. </w:t>
      </w:r>
      <w:r w:rsidR="00737391" w:rsidRPr="00022DEB">
        <w:rPr>
          <w:rFonts w:cs="Tahoma"/>
          <w:lang w:val="en-GB"/>
        </w:rPr>
        <w:t>T</w:t>
      </w:r>
      <w:r w:rsidRPr="00022DEB">
        <w:rPr>
          <w:rFonts w:cs="Tahoma"/>
          <w:lang w:val="en-GB"/>
        </w:rPr>
        <w:t>he training cours</w:t>
      </w:r>
      <w:r w:rsidR="00737391" w:rsidRPr="00022DEB">
        <w:rPr>
          <w:rFonts w:cs="Tahoma"/>
          <w:lang w:val="en-GB"/>
        </w:rPr>
        <w:t xml:space="preserve">e consists of two modules that will be </w:t>
      </w:r>
      <w:r w:rsidRPr="00022DEB">
        <w:rPr>
          <w:rFonts w:cs="Tahoma"/>
          <w:lang w:val="en-GB"/>
        </w:rPr>
        <w:t>conducted during two in-residence seminar</w:t>
      </w:r>
      <w:r w:rsidR="00737391" w:rsidRPr="00022DEB">
        <w:rPr>
          <w:rFonts w:cs="Tahoma"/>
          <w:lang w:val="en-GB"/>
        </w:rPr>
        <w:t xml:space="preserve">s </w:t>
      </w:r>
      <w:r w:rsidRPr="00022DEB">
        <w:rPr>
          <w:rFonts w:cs="Tahoma"/>
          <w:lang w:val="en-GB"/>
        </w:rPr>
        <w:t>o</w:t>
      </w:r>
      <w:r w:rsidR="00737391" w:rsidRPr="00022DEB">
        <w:rPr>
          <w:rFonts w:cs="Tahoma"/>
          <w:lang w:val="en-GB"/>
        </w:rPr>
        <w:t>n 2-4 April, in the Netherlands,</w:t>
      </w:r>
      <w:r w:rsidRPr="00022DEB">
        <w:rPr>
          <w:rFonts w:cs="Tahoma"/>
          <w:lang w:val="en-GB"/>
        </w:rPr>
        <w:t xml:space="preserve"> and on 25 – 28 June</w:t>
      </w:r>
      <w:r w:rsidR="00737391" w:rsidRPr="00022DEB">
        <w:rPr>
          <w:rFonts w:cs="Tahoma"/>
          <w:lang w:val="en-GB"/>
        </w:rPr>
        <w:t>,</w:t>
      </w:r>
      <w:r w:rsidRPr="00022DEB">
        <w:rPr>
          <w:rFonts w:cs="Tahoma"/>
          <w:lang w:val="en-GB"/>
        </w:rPr>
        <w:t xml:space="preserve"> in Israel.</w:t>
      </w:r>
      <w:r w:rsidR="00BA3AB7" w:rsidRPr="00022DEB">
        <w:rPr>
          <w:rFonts w:cs="Tahoma"/>
          <w:lang w:val="en-GB"/>
        </w:rPr>
        <w:t xml:space="preserve"> </w:t>
      </w:r>
    </w:p>
    <w:p w:rsidR="00BA3AB7" w:rsidRPr="00022DEB" w:rsidRDefault="00BA3AB7" w:rsidP="00BA3AB7">
      <w:pPr>
        <w:pStyle w:val="ListParagraph"/>
        <w:rPr>
          <w:rFonts w:cs="Tahoma"/>
          <w:lang w:val="en-GB"/>
        </w:rPr>
      </w:pPr>
    </w:p>
    <w:p w:rsidR="00BA3AB7" w:rsidRPr="00022DEB" w:rsidRDefault="00BA3AB7" w:rsidP="00BA3AB7">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 xml:space="preserve">The next joint meeting of doctors from Tbilisi, Sukhumi and France is planned in </w:t>
      </w:r>
      <w:r w:rsidR="002915EB">
        <w:rPr>
          <w:rFonts w:cs="Tahoma"/>
          <w:lang w:val="en-GB"/>
        </w:rPr>
        <w:t xml:space="preserve">Paris in the </w:t>
      </w:r>
      <w:r w:rsidRPr="00022DEB">
        <w:rPr>
          <w:rFonts w:cs="Tahoma"/>
          <w:lang w:val="en-GB"/>
        </w:rPr>
        <w:t xml:space="preserve">autumn in order to </w:t>
      </w:r>
      <w:r w:rsidR="002915EB">
        <w:rPr>
          <w:rFonts w:cs="Tahoma"/>
          <w:lang w:val="en-GB"/>
        </w:rPr>
        <w:t xml:space="preserve">define </w:t>
      </w:r>
      <w:r w:rsidRPr="00022DEB">
        <w:rPr>
          <w:rFonts w:cs="Tahoma"/>
          <w:lang w:val="en-GB"/>
        </w:rPr>
        <w:t>jointly further steps in the project.</w:t>
      </w:r>
    </w:p>
    <w:p w:rsidR="00BA3AB7" w:rsidRPr="00022DEB" w:rsidRDefault="00BA3AB7" w:rsidP="00BA3AB7">
      <w:pPr>
        <w:autoSpaceDE w:val="0"/>
        <w:autoSpaceDN w:val="0"/>
        <w:adjustRightInd w:val="0"/>
        <w:jc w:val="both"/>
        <w:rPr>
          <w:rFonts w:cs="Tahoma"/>
          <w:lang w:val="en-GB"/>
        </w:rPr>
      </w:pPr>
    </w:p>
    <w:p w:rsidR="00BA3AB7" w:rsidRPr="00022DEB" w:rsidRDefault="00BA3AB7" w:rsidP="00BA3AB7">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 xml:space="preserve">Following previous meetings in Cardiff, Wales, </w:t>
      </w:r>
      <w:r w:rsidR="002915EB">
        <w:rPr>
          <w:rFonts w:cs="Tahoma"/>
          <w:lang w:val="en-GB"/>
        </w:rPr>
        <w:t xml:space="preserve">the </w:t>
      </w:r>
      <w:r w:rsidRPr="00022DEB">
        <w:rPr>
          <w:rFonts w:cs="Tahoma"/>
          <w:lang w:val="en-GB"/>
        </w:rPr>
        <w:t>UK, and in Vitoria, Basque Countries, Spain, the Secretariat will facilitate a training of trainers on a modern methodology and approach to the teaching of Abkhaz in a bilingual education system</w:t>
      </w:r>
      <w:r w:rsidR="00216655" w:rsidRPr="00022DEB">
        <w:rPr>
          <w:rFonts w:cs="Tahoma"/>
          <w:lang w:val="en-GB"/>
        </w:rPr>
        <w:t xml:space="preserve"> in </w:t>
      </w:r>
      <w:r w:rsidR="002915EB">
        <w:rPr>
          <w:rFonts w:cs="Tahoma"/>
          <w:lang w:val="en-GB"/>
        </w:rPr>
        <w:t xml:space="preserve">the </w:t>
      </w:r>
      <w:r w:rsidR="00216655" w:rsidRPr="00022DEB">
        <w:rPr>
          <w:rFonts w:cs="Tahoma"/>
          <w:lang w:val="en-GB"/>
        </w:rPr>
        <w:t xml:space="preserve">summer, possibly </w:t>
      </w:r>
      <w:r w:rsidRPr="00022DEB">
        <w:rPr>
          <w:rFonts w:cs="Tahoma"/>
          <w:lang w:val="en-GB"/>
        </w:rPr>
        <w:t>at the European Centre for Modern Languages (ECML) in Graz, Austria.</w:t>
      </w:r>
    </w:p>
    <w:p w:rsidR="00BA3AB7" w:rsidRPr="00022DEB" w:rsidRDefault="00BA3AB7" w:rsidP="00BA3AB7">
      <w:pPr>
        <w:autoSpaceDE w:val="0"/>
        <w:autoSpaceDN w:val="0"/>
        <w:adjustRightInd w:val="0"/>
        <w:jc w:val="both"/>
        <w:rPr>
          <w:rFonts w:cs="Tahoma"/>
          <w:lang w:val="en-GB"/>
        </w:rPr>
      </w:pPr>
    </w:p>
    <w:p w:rsidR="004A7D10" w:rsidRPr="00022DEB" w:rsidRDefault="00216655" w:rsidP="00D44AFB">
      <w:pPr>
        <w:numPr>
          <w:ilvl w:val="0"/>
          <w:numId w:val="5"/>
        </w:numPr>
        <w:tabs>
          <w:tab w:val="clear" w:pos="360"/>
          <w:tab w:val="num" w:pos="709"/>
        </w:tabs>
        <w:autoSpaceDE w:val="0"/>
        <w:autoSpaceDN w:val="0"/>
        <w:adjustRightInd w:val="0"/>
        <w:ind w:left="0" w:firstLine="0"/>
        <w:jc w:val="both"/>
        <w:rPr>
          <w:rFonts w:cs="Tahoma"/>
          <w:lang w:val="en-GB"/>
        </w:rPr>
      </w:pPr>
      <w:r w:rsidRPr="00022DEB">
        <w:rPr>
          <w:rFonts w:cs="Tahoma"/>
          <w:lang w:val="en-GB"/>
        </w:rPr>
        <w:t>In the meantime, efforts are underway to reactivate</w:t>
      </w:r>
      <w:r w:rsidR="00BA3AB7" w:rsidRPr="00022DEB">
        <w:rPr>
          <w:rFonts w:cs="Tahoma"/>
          <w:lang w:val="en-GB"/>
        </w:rPr>
        <w:t xml:space="preserve"> previous components of the CBM dialogue, which had been put on hold for a number of reasons, such as the simultaneous interpretation from/to the Abkhaz language, the dialogue on human rights issues between ombudspersons and professional group</w:t>
      </w:r>
      <w:r w:rsidRPr="00022DEB">
        <w:rPr>
          <w:rFonts w:cs="Tahoma"/>
          <w:lang w:val="en-GB"/>
        </w:rPr>
        <w:t>s from Tbilisi</w:t>
      </w:r>
      <w:r w:rsidR="004A7F92" w:rsidRPr="00022DEB">
        <w:rPr>
          <w:rFonts w:cs="Tahoma"/>
          <w:lang w:val="en-GB"/>
        </w:rPr>
        <w:t xml:space="preserve"> and Sukhumi</w:t>
      </w:r>
      <w:r w:rsidRPr="00022DEB">
        <w:rPr>
          <w:rFonts w:cs="Tahoma"/>
          <w:lang w:val="en-GB"/>
        </w:rPr>
        <w:t xml:space="preserve">, as </w:t>
      </w:r>
      <w:r w:rsidRPr="00022DEB">
        <w:rPr>
          <w:rFonts w:cs="Tahoma"/>
          <w:lang w:val="en-GB"/>
        </w:rPr>
        <w:lastRenderedPageBreak/>
        <w:t>well as health</w:t>
      </w:r>
      <w:r w:rsidR="002915EB">
        <w:rPr>
          <w:rFonts w:cs="Tahoma"/>
          <w:lang w:val="en-GB"/>
        </w:rPr>
        <w:t xml:space="preserve"> </w:t>
      </w:r>
      <w:r w:rsidRPr="00022DEB">
        <w:rPr>
          <w:rFonts w:cs="Tahoma"/>
          <w:lang w:val="en-GB"/>
        </w:rPr>
        <w:t xml:space="preserve">care </w:t>
      </w:r>
      <w:r w:rsidR="00BA3AB7" w:rsidRPr="00022DEB">
        <w:rPr>
          <w:rFonts w:cs="Tahoma"/>
          <w:lang w:val="en-GB"/>
        </w:rPr>
        <w:t xml:space="preserve">in prisons. A project </w:t>
      </w:r>
      <w:r w:rsidRPr="00022DEB">
        <w:rPr>
          <w:rFonts w:cs="Tahoma"/>
          <w:lang w:val="en-GB"/>
        </w:rPr>
        <w:t>on</w:t>
      </w:r>
      <w:r w:rsidR="00BA3AB7" w:rsidRPr="00022DEB">
        <w:rPr>
          <w:rFonts w:cs="Tahoma"/>
          <w:lang w:val="en-GB"/>
        </w:rPr>
        <w:t xml:space="preserve"> the role of women in a democratic society</w:t>
      </w:r>
      <w:r w:rsidR="002915EB">
        <w:rPr>
          <w:rFonts w:cs="Tahoma"/>
          <w:lang w:val="en-GB"/>
        </w:rPr>
        <w:t>,</w:t>
      </w:r>
      <w:r w:rsidR="00BA3AB7" w:rsidRPr="00022DEB">
        <w:rPr>
          <w:rFonts w:cs="Tahoma"/>
          <w:lang w:val="en-GB"/>
        </w:rPr>
        <w:t xml:space="preserve"> </w:t>
      </w:r>
      <w:r w:rsidRPr="00022DEB">
        <w:rPr>
          <w:rFonts w:cs="Tahoma"/>
          <w:lang w:val="en-GB"/>
        </w:rPr>
        <w:t xml:space="preserve">including the areas of culture, economics and </w:t>
      </w:r>
      <w:r w:rsidR="00BA3AB7" w:rsidRPr="00022DEB">
        <w:rPr>
          <w:rFonts w:cs="Tahoma"/>
          <w:lang w:val="en-GB"/>
        </w:rPr>
        <w:t>public life</w:t>
      </w:r>
      <w:r w:rsidRPr="00022DEB">
        <w:rPr>
          <w:rFonts w:cs="Tahoma"/>
          <w:lang w:val="en-GB"/>
        </w:rPr>
        <w:t xml:space="preserve"> is also being given consideration</w:t>
      </w:r>
      <w:r w:rsidR="00BA3AB7" w:rsidRPr="00022DEB">
        <w:rPr>
          <w:rFonts w:cs="Tahoma"/>
          <w:lang w:val="en-GB"/>
        </w:rPr>
        <w:t xml:space="preserve">.  </w:t>
      </w:r>
    </w:p>
    <w:sectPr w:rsidR="004A7D10" w:rsidRPr="00022DEB" w:rsidSect="000911E5">
      <w:pgSz w:w="11907" w:h="16840" w:code="9"/>
      <w:pgMar w:top="1440" w:right="1644" w:bottom="1276"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08" w:rsidRDefault="00230808" w:rsidP="00E64288">
      <w:r>
        <w:separator/>
      </w:r>
    </w:p>
  </w:endnote>
  <w:endnote w:type="continuationSeparator" w:id="0">
    <w:p w:rsidR="00230808" w:rsidRDefault="00230808" w:rsidP="00E6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08" w:rsidRDefault="00230808" w:rsidP="00E64288">
      <w:r>
        <w:separator/>
      </w:r>
    </w:p>
  </w:footnote>
  <w:footnote w:type="continuationSeparator" w:id="0">
    <w:p w:rsidR="00230808" w:rsidRDefault="00230808" w:rsidP="00E64288">
      <w:r>
        <w:continuationSeparator/>
      </w:r>
    </w:p>
  </w:footnote>
  <w:footnote w:id="1">
    <w:p w:rsidR="0068266C" w:rsidRDefault="0068266C" w:rsidP="00B94795">
      <w:r w:rsidRPr="00D66693">
        <w:rPr>
          <w:rStyle w:val="FootnoteReference"/>
          <w:sz w:val="18"/>
          <w:szCs w:val="18"/>
        </w:rPr>
        <w:footnoteRef/>
      </w:r>
      <w:r w:rsidRPr="00D66693">
        <w:rPr>
          <w:sz w:val="18"/>
          <w:szCs w:val="18"/>
        </w:rPr>
        <w:t xml:space="preserve"> </w:t>
      </w:r>
      <w:r w:rsidRPr="00B94795">
        <w:rPr>
          <w:sz w:val="18"/>
          <w:szCs w:val="18"/>
        </w:rPr>
        <w:t>This document has been classified restricted until examination by the Committee of Ministers.</w:t>
      </w:r>
    </w:p>
    <w:p w:rsidR="0068266C" w:rsidRPr="00D66693" w:rsidRDefault="0068266C">
      <w:pPr>
        <w:pStyle w:val="FootnoteText"/>
      </w:pPr>
    </w:p>
  </w:footnote>
  <w:footnote w:id="2">
    <w:p w:rsidR="0068266C" w:rsidRPr="00A63D4C" w:rsidRDefault="0068266C" w:rsidP="003F0C9E">
      <w:pPr>
        <w:ind w:left="142" w:hanging="142"/>
        <w:jc w:val="both"/>
        <w:rPr>
          <w:rFonts w:cs="Tahoma"/>
          <w:sz w:val="18"/>
          <w:szCs w:val="18"/>
          <w:lang w:val="en-GB"/>
        </w:rPr>
      </w:pPr>
      <w:r w:rsidRPr="00A63D4C">
        <w:rPr>
          <w:rStyle w:val="FootnoteReference"/>
          <w:rFonts w:cs="Tahoma"/>
          <w:sz w:val="18"/>
          <w:szCs w:val="18"/>
          <w:lang w:val="en-GB"/>
        </w:rPr>
        <w:footnoteRef/>
      </w:r>
      <w:r w:rsidRPr="00A63D4C">
        <w:rPr>
          <w:rStyle w:val="FootnoteReference"/>
          <w:rFonts w:cs="Tahoma"/>
          <w:sz w:val="18"/>
          <w:szCs w:val="18"/>
          <w:lang w:val="en-GB"/>
        </w:rPr>
        <w:t xml:space="preserve"> </w:t>
      </w:r>
      <w:bookmarkStart w:id="2" w:name="_ML_000000000003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"https://search.coe.int/cm/Pages/result_details.aspx?Reference=SG/Inf(2010)8" \o "Consolidated report on the conflict in Georgia (October 2009 - March 2010)" </w:instrText>
      </w:r>
      <w:r w:rsidRPr="00BC47C1">
        <w:rPr>
          <w:rFonts w:cs="Tahoma"/>
          <w:sz w:val="18"/>
          <w:szCs w:val="18"/>
          <w:lang w:val="en-GB"/>
        </w:rPr>
        <w:fldChar w:fldCharType="separate"/>
      </w:r>
      <w:bookmarkEnd w:id="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(2010)8</w:t>
      </w:r>
      <w:r w:rsidRPr="00BC47C1">
        <w:rPr>
          <w:rFonts w:cs="Tahoma"/>
          <w:sz w:val="18"/>
          <w:szCs w:val="18"/>
          <w:lang w:val="en-GB"/>
        </w:rPr>
        <w:fldChar w:fldCharType="end"/>
      </w:r>
      <w:r w:rsidRPr="00A63D4C">
        <w:rPr>
          <w:rFonts w:cs="Tahoma"/>
          <w:sz w:val="18"/>
          <w:szCs w:val="18"/>
          <w:lang w:val="en-GB"/>
        </w:rPr>
        <w:t xml:space="preserve">, </w:t>
      </w:r>
      <w:bookmarkStart w:id="3" w:name="_ML_000000000004_PARTIAL"/>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"https://search.coe.int/cm/Pages/result_details.aspx?Reference=SG/Inf(2010)19-final" </w:instrText>
      </w:r>
      <w:r w:rsidRPr="00BC47C1">
        <w:rPr>
          <w:rFonts w:cs="Tahoma"/>
          <w:sz w:val="18"/>
          <w:szCs w:val="18"/>
          <w:lang w:val="en-GB"/>
        </w:rPr>
        <w:fldChar w:fldCharType="separate"/>
      </w:r>
      <w:bookmarkEnd w:id="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(2010)19-final</w:t>
      </w:r>
      <w:r w:rsidRPr="00BC47C1">
        <w:rPr>
          <w:rFonts w:cs="Tahoma"/>
          <w:sz w:val="18"/>
          <w:szCs w:val="18"/>
          <w:lang w:val="en-GB"/>
        </w:rPr>
        <w:fldChar w:fldCharType="end"/>
      </w:r>
      <w:r w:rsidRPr="00A63D4C">
        <w:rPr>
          <w:rFonts w:cs="Tahoma"/>
          <w:sz w:val="18"/>
          <w:szCs w:val="18"/>
          <w:lang w:val="en-GB"/>
        </w:rPr>
        <w:t xml:space="preserve">, </w:t>
      </w:r>
      <w:bookmarkStart w:id="4" w:name="_ML_000000000005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"https://search.coe.int/cm/Pages/result_details.aspx?Reference=SG/Inf(2011)8" \o "Consolidated report on the conflict in Georgia (October 2010 - March 2011)" </w:instrText>
      </w:r>
      <w:r w:rsidRPr="00BC47C1">
        <w:rPr>
          <w:rFonts w:cs="Tahoma"/>
          <w:sz w:val="18"/>
          <w:szCs w:val="18"/>
          <w:lang w:val="en-GB"/>
        </w:rPr>
        <w:fldChar w:fldCharType="separate"/>
      </w:r>
      <w:bookmarkEnd w:id="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(2011)8</w:t>
      </w:r>
      <w:r w:rsidRPr="00BC47C1">
        <w:rPr>
          <w:rFonts w:cs="Tahoma"/>
          <w:sz w:val="18"/>
          <w:szCs w:val="18"/>
          <w:lang w:val="en-GB"/>
        </w:rPr>
        <w:fldChar w:fldCharType="end"/>
      </w:r>
      <w:r w:rsidRPr="00A63D4C">
        <w:rPr>
          <w:rFonts w:cs="Tahoma"/>
          <w:sz w:val="18"/>
          <w:szCs w:val="18"/>
          <w:lang w:val="en-GB"/>
        </w:rPr>
        <w:t xml:space="preserve">, </w:t>
      </w:r>
      <w:bookmarkStart w:id="5" w:name="_ML_000000000006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"https://search.coe.int/cm/Pages/result_details.aspx?Reference=SG/Inf(2011)24" \o "Consolidated report on the conflict in Georgia (April - October 2011)" </w:instrText>
      </w:r>
      <w:r w:rsidRPr="00BC47C1">
        <w:rPr>
          <w:rFonts w:cs="Tahoma"/>
          <w:sz w:val="18"/>
          <w:szCs w:val="18"/>
          <w:lang w:val="en-GB"/>
        </w:rPr>
        <w:fldChar w:fldCharType="separate"/>
      </w:r>
      <w:bookmarkEnd w:id="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(2011)24</w:t>
      </w:r>
      <w:r w:rsidRPr="00BC47C1">
        <w:rPr>
          <w:rFonts w:cs="Tahoma"/>
          <w:sz w:val="18"/>
          <w:szCs w:val="18"/>
          <w:lang w:val="en-GB"/>
        </w:rPr>
        <w:fldChar w:fldCharType="end"/>
      </w:r>
      <w:r w:rsidRPr="00A63D4C">
        <w:rPr>
          <w:rFonts w:cs="Tahoma"/>
          <w:sz w:val="18"/>
          <w:szCs w:val="18"/>
          <w:lang w:val="en-GB"/>
        </w:rPr>
        <w:t xml:space="preserve">, </w:t>
      </w:r>
      <w:bookmarkStart w:id="6" w:name="_ML_000000000007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"https://search.coe.int/cm/Pages/result_details.aspx?Reference=SG/Inf(2012)5" \o "Consolidated report on the conflict in Georgia (October 2011 – March 2012) - Document presented by the Secretary General" </w:instrText>
      </w:r>
      <w:r w:rsidRPr="00BC47C1">
        <w:rPr>
          <w:rFonts w:cs="Tahoma"/>
          <w:sz w:val="18"/>
          <w:szCs w:val="18"/>
          <w:lang w:val="en-GB"/>
        </w:rPr>
        <w:fldChar w:fldCharType="separate"/>
      </w:r>
      <w:bookmarkEnd w:id="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(2012)5</w:t>
      </w:r>
      <w:r w:rsidRPr="00BC47C1">
        <w:rPr>
          <w:rFonts w:cs="Tahoma"/>
          <w:sz w:val="18"/>
          <w:szCs w:val="18"/>
          <w:lang w:val="en-GB"/>
        </w:rPr>
        <w:fldChar w:fldCharType="end"/>
      </w:r>
      <w:r w:rsidRPr="00A63D4C">
        <w:rPr>
          <w:rFonts w:cs="Tahoma"/>
          <w:sz w:val="18"/>
          <w:szCs w:val="18"/>
          <w:lang w:val="en-GB"/>
        </w:rPr>
        <w:t xml:space="preserve"> and </w:t>
      </w:r>
      <w:bookmarkStart w:id="7" w:name="_ML_000000000008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"https://search.coe.int/cm/Pages/result_details.aspx?Reference=SG/Inf(2012)28-rev" \o "Consolidated report on the conflict in Georgia (April 2012 – September 2012) - Document presented by the Secretary General" </w:instrText>
      </w:r>
      <w:r w:rsidRPr="00BC47C1">
        <w:rPr>
          <w:rFonts w:cs="Tahoma"/>
          <w:sz w:val="18"/>
          <w:szCs w:val="18"/>
          <w:lang w:val="en-GB"/>
        </w:rPr>
        <w:fldChar w:fldCharType="separate"/>
      </w:r>
      <w:bookmarkEnd w:id="7"/>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(2012)28-rev</w:t>
      </w:r>
      <w:r w:rsidRPr="00BC47C1">
        <w:rPr>
          <w:rFonts w:cs="Tahoma"/>
          <w:sz w:val="18"/>
          <w:szCs w:val="18"/>
          <w:lang w:val="en-GB"/>
        </w:rPr>
        <w:fldChar w:fldCharType="end"/>
      </w:r>
      <w:r w:rsidRPr="00A63D4C">
        <w:rPr>
          <w:rFonts w:cs="Tahoma"/>
          <w:sz w:val="18"/>
          <w:szCs w:val="18"/>
          <w:lang w:val="en-GB"/>
        </w:rPr>
        <w:t xml:space="preserve">, </w:t>
      </w:r>
      <w:bookmarkStart w:id="8" w:name="_ML_000000000009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"https://search.coe.int/cm/Pages/result_details.aspx?Reference=SG/Inf(2013)13" \o "Consolidated report on the conflict in Georgia (October 2012 – March 2013) - Document presented by the Secretary General" </w:instrText>
      </w:r>
      <w:r w:rsidRPr="00BC47C1">
        <w:rPr>
          <w:rFonts w:cs="Tahoma"/>
          <w:sz w:val="18"/>
          <w:szCs w:val="18"/>
          <w:lang w:val="en-GB"/>
        </w:rPr>
        <w:fldChar w:fldCharType="separate"/>
      </w:r>
      <w:bookmarkEnd w:id="8"/>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(2013)13</w:t>
      </w:r>
      <w:r w:rsidRPr="00BC47C1">
        <w:rPr>
          <w:rFonts w:cs="Tahoma"/>
          <w:sz w:val="18"/>
          <w:szCs w:val="18"/>
          <w:lang w:val="en-GB"/>
        </w:rPr>
        <w:fldChar w:fldCharType="end"/>
      </w:r>
      <w:r w:rsidRPr="00A63D4C">
        <w:rPr>
          <w:rFonts w:cs="Tahoma"/>
          <w:sz w:val="18"/>
          <w:szCs w:val="18"/>
          <w:lang w:val="en-GB"/>
        </w:rPr>
        <w:t xml:space="preserve">, </w:t>
      </w:r>
      <w:bookmarkStart w:id="9" w:name="_ML_000000000010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"https://search.coe.int/cm/Pages/result_details.aspx?Reference=SG/Inf(2013)38" \o "Consolidated report on the conflict in Georgia (April 2013 – September 2013) - Document presented by the Secretary General" </w:instrText>
      </w:r>
      <w:r w:rsidRPr="00BC47C1">
        <w:rPr>
          <w:rFonts w:cs="Tahoma"/>
          <w:sz w:val="18"/>
          <w:szCs w:val="18"/>
          <w:lang w:val="en-GB"/>
        </w:rPr>
        <w:fldChar w:fldCharType="separate"/>
      </w:r>
      <w:bookmarkEnd w:id="9"/>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(2013)38</w:t>
      </w:r>
      <w:r w:rsidRPr="00BC47C1">
        <w:rPr>
          <w:rFonts w:cs="Tahoma"/>
          <w:sz w:val="18"/>
          <w:szCs w:val="18"/>
          <w:lang w:val="en-GB"/>
        </w:rPr>
        <w:fldChar w:fldCharType="end"/>
      </w:r>
      <w:r>
        <w:rPr>
          <w:rFonts w:cs="Tahoma"/>
          <w:sz w:val="18"/>
          <w:szCs w:val="18"/>
          <w:lang w:val="en-GB"/>
        </w:rPr>
        <w:t xml:space="preserve">, </w:t>
      </w:r>
      <w:bookmarkStart w:id="10" w:name="_ML_000000000011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"https://search.coe.int/cm/Pages/result_details.aspx?Reference=SG/Inf(2014)17" \o "Consolidated report on the conflict in Georgia (October 2013 – March 2014) - Document presented by the Secretary General" </w:instrText>
      </w:r>
      <w:r w:rsidRPr="00BC47C1">
        <w:rPr>
          <w:rFonts w:cs="Tahoma"/>
          <w:sz w:val="18"/>
          <w:szCs w:val="18"/>
          <w:lang w:val="en-GB"/>
        </w:rPr>
        <w:fldChar w:fldCharType="separate"/>
      </w:r>
      <w:bookmarkEnd w:id="10"/>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(2014)17</w:t>
      </w:r>
      <w:r w:rsidRPr="00BC47C1">
        <w:rPr>
          <w:rFonts w:cs="Tahoma"/>
          <w:sz w:val="18"/>
          <w:szCs w:val="18"/>
          <w:lang w:val="en-GB"/>
        </w:rPr>
        <w:fldChar w:fldCharType="end"/>
      </w:r>
      <w:r>
        <w:rPr>
          <w:rFonts w:cs="Tahoma"/>
          <w:sz w:val="18"/>
          <w:szCs w:val="18"/>
          <w:lang w:val="en-GB"/>
        </w:rPr>
        <w:t xml:space="preserve">, </w:t>
      </w:r>
      <w:bookmarkStart w:id="11" w:name="_ML_000000000012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"https://search.coe.int/cm/Pages/result_details.aspx?Reference=SG/Inf(2014)41" \o "Consolidated report on the conflict in Georgia (April 2014 – October 2014) - Document presented by the Secretary General" </w:instrText>
      </w:r>
      <w:r w:rsidRPr="00BC47C1">
        <w:rPr>
          <w:rFonts w:cs="Tahoma"/>
          <w:sz w:val="18"/>
          <w:szCs w:val="18"/>
          <w:lang w:val="en-GB"/>
        </w:rPr>
        <w:fldChar w:fldCharType="separate"/>
      </w:r>
      <w:bookmarkEnd w:id="11"/>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(2014)41</w:t>
      </w:r>
      <w:r w:rsidRPr="00BC47C1">
        <w:rPr>
          <w:rFonts w:cs="Tahoma"/>
          <w:sz w:val="18"/>
          <w:szCs w:val="18"/>
          <w:lang w:val="en-GB"/>
        </w:rPr>
        <w:fldChar w:fldCharType="end"/>
      </w:r>
      <w:r>
        <w:rPr>
          <w:rFonts w:cs="Tahoma"/>
          <w:sz w:val="18"/>
          <w:szCs w:val="18"/>
          <w:lang w:val="en-GB"/>
        </w:rPr>
        <w:t xml:space="preserve">, </w:t>
      </w:r>
      <w:bookmarkStart w:id="12" w:name="_ML_000000000013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"https://search.coe.int/cm/Pages/result_details.aspx?Reference=SG/Inf(2015)18" \o "Consolidated report on the conflict in Georgia (November 2014 – March 2015) - Document presented by the Secretary General" </w:instrText>
      </w:r>
      <w:r w:rsidRPr="00BC47C1">
        <w:rPr>
          <w:rFonts w:cs="Tahoma"/>
          <w:sz w:val="18"/>
          <w:szCs w:val="18"/>
          <w:lang w:val="en-GB"/>
        </w:rPr>
        <w:fldChar w:fldCharType="separate"/>
      </w:r>
      <w:bookmarkEnd w:id="1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(2015)18</w:t>
      </w:r>
      <w:r w:rsidRPr="00BC47C1">
        <w:rPr>
          <w:rFonts w:cs="Tahoma"/>
          <w:sz w:val="18"/>
          <w:szCs w:val="18"/>
          <w:lang w:val="en-GB"/>
        </w:rPr>
        <w:fldChar w:fldCharType="end"/>
      </w:r>
      <w:r>
        <w:rPr>
          <w:rFonts w:cs="Tahoma"/>
          <w:sz w:val="18"/>
          <w:szCs w:val="18"/>
          <w:lang w:val="en-GB"/>
        </w:rPr>
        <w:t xml:space="preserve">, </w:t>
      </w:r>
      <w:bookmarkStart w:id="13" w:name="_ML_000000000014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"https://search.coe.int/cm/Pages/result_details.aspx?Reference=SG/Inf(2015)41" \o "Consolidated report on the conflict in Georgia (April 2015 – September 2015) - Document presented by the Secretary General" </w:instrText>
      </w:r>
      <w:r w:rsidRPr="00BC47C1">
        <w:rPr>
          <w:rFonts w:cs="Tahoma"/>
          <w:sz w:val="18"/>
          <w:szCs w:val="18"/>
          <w:lang w:val="en-GB"/>
        </w:rPr>
        <w:fldChar w:fldCharType="separate"/>
      </w:r>
      <w:bookmarkEnd w:id="1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(2015)41</w:t>
      </w:r>
      <w:r w:rsidRPr="00BC47C1">
        <w:rPr>
          <w:rFonts w:cs="Tahoma"/>
          <w:sz w:val="18"/>
          <w:szCs w:val="18"/>
          <w:lang w:val="en-GB"/>
        </w:rPr>
        <w:fldChar w:fldCharType="end"/>
      </w:r>
      <w:r>
        <w:rPr>
          <w:rFonts w:cs="Tahoma"/>
          <w:sz w:val="18"/>
          <w:szCs w:val="18"/>
          <w:lang w:val="en-GB"/>
        </w:rPr>
        <w:t xml:space="preserve">, </w:t>
      </w:r>
      <w:bookmarkStart w:id="14" w:name="_ML_000000000015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"https://search.coe.int/cm/Pages/result_details.aspx?Reference=SG/Inf(2016)14-rev" \o "Consolidated report on the conflict in Georgia (October 2015 – March 2016)" </w:instrText>
      </w:r>
      <w:r w:rsidRPr="00BC47C1">
        <w:rPr>
          <w:rFonts w:cs="Tahoma"/>
          <w:sz w:val="18"/>
          <w:szCs w:val="18"/>
          <w:lang w:val="en-GB"/>
        </w:rPr>
        <w:fldChar w:fldCharType="separate"/>
      </w:r>
      <w:bookmarkEnd w:id="1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(2016)14-rev</w:t>
      </w:r>
      <w:r w:rsidRPr="00BC47C1">
        <w:rPr>
          <w:rFonts w:cs="Tahoma"/>
          <w:sz w:val="18"/>
          <w:szCs w:val="18"/>
          <w:lang w:val="en-GB"/>
        </w:rPr>
        <w:fldChar w:fldCharType="end"/>
      </w:r>
      <w:r>
        <w:rPr>
          <w:rFonts w:cs="Tahoma"/>
          <w:sz w:val="18"/>
          <w:szCs w:val="18"/>
          <w:lang w:val="en-GB"/>
        </w:rPr>
        <w:t xml:space="preserve">, </w:t>
      </w:r>
      <w:hyperlink r:id="rId1" w:history="1">
        <w:r w:rsidRPr="00A42317">
          <w:rPr>
            <w:rStyle w:val="Hyperlink"/>
            <w:rFonts w:cs="Tahoma"/>
            <w:sz w:val="18"/>
            <w:szCs w:val="18"/>
            <w:lang w:val="en-GB"/>
          </w:rPr>
          <w:t>SG/</w:t>
        </w:r>
        <w:proofErr w:type="spellStart"/>
        <w:r w:rsidRPr="00A42317">
          <w:rPr>
            <w:rStyle w:val="Hyperlink"/>
            <w:rFonts w:cs="Tahoma"/>
            <w:sz w:val="18"/>
            <w:szCs w:val="18"/>
            <w:lang w:val="en-GB"/>
          </w:rPr>
          <w:t>Inf</w:t>
        </w:r>
        <w:proofErr w:type="spellEnd"/>
        <w:r w:rsidRPr="00A42317">
          <w:rPr>
            <w:rStyle w:val="Hyperlink"/>
            <w:rFonts w:cs="Tahoma"/>
            <w:sz w:val="18"/>
            <w:szCs w:val="18"/>
            <w:lang w:val="en-GB"/>
          </w:rPr>
          <w:t>(2016)37</w:t>
        </w:r>
      </w:hyperlink>
      <w:r>
        <w:rPr>
          <w:rFonts w:cs="Tahoma"/>
          <w:sz w:val="18"/>
          <w:szCs w:val="18"/>
          <w:lang w:val="en-GB"/>
        </w:rPr>
        <w:t>, SG/</w:t>
      </w:r>
      <w:proofErr w:type="spellStart"/>
      <w:r>
        <w:rPr>
          <w:rFonts w:cs="Tahoma"/>
          <w:sz w:val="18"/>
          <w:szCs w:val="18"/>
          <w:lang w:val="en-GB"/>
        </w:rPr>
        <w:t>Inf</w:t>
      </w:r>
      <w:proofErr w:type="spellEnd"/>
      <w:r>
        <w:rPr>
          <w:rFonts w:cs="Tahoma"/>
          <w:sz w:val="18"/>
          <w:szCs w:val="18"/>
          <w:lang w:val="en-GB"/>
        </w:rPr>
        <w:t xml:space="preserve">(2017)38, </w:t>
      </w:r>
      <w:hyperlink r:id="rId2" w:history="1">
        <w:r w:rsidRPr="003C5E9B">
          <w:rPr>
            <w:rStyle w:val="Hyperlink"/>
            <w:rFonts w:cs="Tahoma"/>
            <w:sz w:val="18"/>
            <w:szCs w:val="18"/>
            <w:lang w:val="en-GB"/>
          </w:rPr>
          <w:t>SG/Inf (2017)38</w:t>
        </w:r>
      </w:hyperlink>
      <w:r>
        <w:rPr>
          <w:rFonts w:cs="Tahoma"/>
          <w:sz w:val="18"/>
          <w:szCs w:val="18"/>
          <w:lang w:val="en-GB"/>
        </w:rPr>
        <w:t xml:space="preserve">, SG/Inf(2018)15, </w:t>
      </w:r>
      <w:r w:rsidRPr="003C5E9B">
        <w:rPr>
          <w:rFonts w:cs="Tahoma"/>
          <w:sz w:val="18"/>
          <w:szCs w:val="18"/>
          <w:lang w:val="en-GB"/>
        </w:rPr>
        <w:t>SG/Inf(2018)34 Rev</w:t>
      </w:r>
      <w:r>
        <w:rPr>
          <w:rFonts w:cs="Tahoma"/>
          <w:sz w:val="18"/>
          <w:szCs w:val="18"/>
          <w:lang w:val="en-GB"/>
        </w:rPr>
        <w:t>.</w:t>
      </w:r>
    </w:p>
  </w:footnote>
  <w:footnote w:id="3">
    <w:p w:rsidR="0068266C" w:rsidRPr="00A63D4C" w:rsidRDefault="0068266C">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5" w:name="_ML_000000000016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"https://search.coe.int/cm/Pages/result_details.aspx?Reference=SG/Inf(2009)7" \o "Report on the human rights situation in the areas affected by the conflict in Georgia - First report" </w:instrText>
      </w:r>
      <w:r w:rsidRPr="00BC47C1">
        <w:rPr>
          <w:rFonts w:cs="Tahoma"/>
          <w:sz w:val="18"/>
          <w:szCs w:val="18"/>
          <w:lang w:val="en-GB"/>
        </w:rPr>
        <w:fldChar w:fldCharType="separate"/>
      </w:r>
      <w:bookmarkEnd w:id="1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(2009)7</w:t>
      </w:r>
      <w:r w:rsidRPr="00BC47C1">
        <w:rPr>
          <w:rFonts w:cs="Tahoma"/>
          <w:sz w:val="18"/>
          <w:szCs w:val="18"/>
          <w:lang w:val="en-GB"/>
        </w:rPr>
        <w:fldChar w:fldCharType="end"/>
      </w:r>
      <w:r w:rsidRPr="00A63D4C">
        <w:rPr>
          <w:rFonts w:cs="Tahoma"/>
          <w:sz w:val="18"/>
          <w:szCs w:val="18"/>
          <w:lang w:val="en-GB"/>
        </w:rPr>
        <w:t xml:space="preserve">, </w:t>
      </w:r>
      <w:bookmarkStart w:id="16" w:name="_ML_000000000017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"https://search.coe.int/cm/Pages/result_details.aspx?Reference=SG/Inf(2009)9" \o "Report on the human rights situation in the areas affected by the conflict in Georgia - Second report (April – June 2009)" </w:instrText>
      </w:r>
      <w:r w:rsidRPr="00BC47C1">
        <w:rPr>
          <w:rFonts w:cs="Tahoma"/>
          <w:sz w:val="18"/>
          <w:szCs w:val="18"/>
          <w:lang w:val="en-GB"/>
        </w:rPr>
        <w:fldChar w:fldCharType="separate"/>
      </w:r>
      <w:bookmarkEnd w:id="1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(2009)9</w:t>
      </w:r>
      <w:r w:rsidRPr="00BC47C1">
        <w:rPr>
          <w:rFonts w:cs="Tahoma"/>
          <w:sz w:val="18"/>
          <w:szCs w:val="18"/>
          <w:lang w:val="en-GB"/>
        </w:rPr>
        <w:fldChar w:fldCharType="end"/>
      </w:r>
      <w:r w:rsidRPr="00A63D4C">
        <w:rPr>
          <w:rFonts w:cs="Tahoma"/>
          <w:sz w:val="18"/>
          <w:szCs w:val="18"/>
          <w:lang w:val="en-GB"/>
        </w:rPr>
        <w:t xml:space="preserve"> and </w:t>
      </w:r>
      <w:bookmarkStart w:id="17" w:name="_ML_000000000018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"https://search.coe.int/cm/Pages/result_details.aspx?Reference=SG/Inf(2009)15-final" \o "Report on the human rights situation in the areas affected by the conflict in Georgia - Third report (July – September 2009) - Document presented by the Secretary General" </w:instrText>
      </w:r>
      <w:r w:rsidRPr="00BC47C1">
        <w:rPr>
          <w:rFonts w:cs="Tahoma"/>
          <w:sz w:val="18"/>
          <w:szCs w:val="18"/>
          <w:lang w:val="en-GB"/>
        </w:rPr>
        <w:fldChar w:fldCharType="separate"/>
      </w:r>
      <w:bookmarkEnd w:id="17"/>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(2009)15-final</w:t>
      </w:r>
      <w:r w:rsidRPr="00BC47C1">
        <w:rPr>
          <w:rFonts w:cs="Tahoma"/>
          <w:sz w:val="18"/>
          <w:szCs w:val="18"/>
          <w:lang w:val="en-GB"/>
        </w:rPr>
        <w:fldChar w:fldCharType="end"/>
      </w:r>
      <w:r w:rsidRPr="00A63D4C">
        <w:rPr>
          <w:rFonts w:cs="Tahoma"/>
          <w:sz w:val="18"/>
          <w:szCs w:val="18"/>
          <w:lang w:val="en-GB"/>
        </w:rPr>
        <w:t>.</w:t>
      </w:r>
    </w:p>
  </w:footnote>
  <w:footnote w:id="4">
    <w:p w:rsidR="0068266C" w:rsidRPr="00A63D4C" w:rsidRDefault="0068266C">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8" w:name="_ML_000000000019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18"/>
      <w:r w:rsidRPr="00BC47C1">
        <w:rPr>
          <w:rStyle w:val="Hyperlink"/>
          <w:rFonts w:cs="Tahoma"/>
          <w:sz w:val="18"/>
          <w:szCs w:val="18"/>
          <w:lang w:val="en-GB"/>
        </w:rPr>
        <w:t>SG/</w:t>
      </w:r>
      <w:proofErr w:type="spellStart"/>
      <w:proofErr w:type="gramStart"/>
      <w:r w:rsidRPr="00BC47C1">
        <w:rPr>
          <w:rStyle w:val="Hyperlink"/>
          <w:rFonts w:cs="Tahoma"/>
          <w:sz w:val="18"/>
          <w:szCs w:val="18"/>
          <w:lang w:val="en-GB"/>
        </w:rPr>
        <w:t>Inf</w:t>
      </w:r>
      <w:proofErr w:type="spellEnd"/>
      <w:r w:rsidRPr="00BC47C1">
        <w:rPr>
          <w:rStyle w:val="Hyperlink"/>
          <w:rFonts w:cs="Tahoma"/>
          <w:sz w:val="18"/>
          <w:szCs w:val="18"/>
          <w:lang w:val="en-GB"/>
        </w:rPr>
        <w:t>(</w:t>
      </w:r>
      <w:proofErr w:type="gram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w:t>
      </w:r>
    </w:p>
  </w:footnote>
  <w:footnote w:id="5">
    <w:p w:rsidR="0068266C" w:rsidRPr="00A63D4C" w:rsidRDefault="0068266C">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9" w:name="_ML_000000000020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19"/>
      <w:r w:rsidRPr="00BC47C1">
        <w:rPr>
          <w:rStyle w:val="Hyperlink"/>
          <w:rFonts w:cs="Tahoma"/>
          <w:sz w:val="18"/>
          <w:szCs w:val="18"/>
          <w:lang w:val="en-GB"/>
        </w:rPr>
        <w:t>SG/</w:t>
      </w:r>
      <w:proofErr w:type="spellStart"/>
      <w:proofErr w:type="gramStart"/>
      <w:r w:rsidRPr="00BC47C1">
        <w:rPr>
          <w:rStyle w:val="Hyperlink"/>
          <w:rFonts w:cs="Tahoma"/>
          <w:sz w:val="18"/>
          <w:szCs w:val="18"/>
          <w:lang w:val="en-GB"/>
        </w:rPr>
        <w:t>Inf</w:t>
      </w:r>
      <w:proofErr w:type="spellEnd"/>
      <w:r w:rsidRPr="00BC47C1">
        <w:rPr>
          <w:rStyle w:val="Hyperlink"/>
          <w:rFonts w:cs="Tahoma"/>
          <w:sz w:val="18"/>
          <w:szCs w:val="18"/>
          <w:lang w:val="en-GB"/>
        </w:rPr>
        <w:t>(</w:t>
      </w:r>
      <w:proofErr w:type="gram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 xml:space="preserve"> Addendum and </w:t>
      </w:r>
      <w:bookmarkStart w:id="20" w:name="_ML_000000000021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20"/>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 xml:space="preserve"> Addendum 2.</w:t>
      </w:r>
    </w:p>
  </w:footnote>
  <w:footnote w:id="6">
    <w:p w:rsidR="0068266C" w:rsidRPr="00881197" w:rsidRDefault="0068266C" w:rsidP="00022DEB">
      <w:pPr>
        <w:pStyle w:val="FootnoteText"/>
        <w:ind w:left="142" w:hanging="142"/>
        <w:jc w:val="both"/>
        <w:rPr>
          <w:sz w:val="18"/>
          <w:szCs w:val="18"/>
        </w:rPr>
      </w:pPr>
      <w:r w:rsidRPr="00881197">
        <w:rPr>
          <w:rStyle w:val="FootnoteReference"/>
          <w:sz w:val="18"/>
          <w:szCs w:val="18"/>
        </w:rPr>
        <w:footnoteRef/>
      </w:r>
      <w:r w:rsidRPr="00881197">
        <w:rPr>
          <w:sz w:val="18"/>
          <w:szCs w:val="18"/>
        </w:rPr>
        <w:t xml:space="preserve"> </w:t>
      </w:r>
      <w:r>
        <w:rPr>
          <w:sz w:val="18"/>
          <w:szCs w:val="18"/>
        </w:rPr>
        <w:t>Cf. decisions adopted by the Deputies at their 1227</w:t>
      </w:r>
      <w:r w:rsidRPr="003B25E3">
        <w:rPr>
          <w:sz w:val="18"/>
          <w:szCs w:val="18"/>
        </w:rPr>
        <w:t>th</w:t>
      </w:r>
      <w:r>
        <w:rPr>
          <w:sz w:val="18"/>
          <w:szCs w:val="18"/>
        </w:rPr>
        <w:t xml:space="preserve"> meeting on 12 May 2015, and at their 1255th meeting on 4 May 2016, </w:t>
      </w:r>
      <w:r w:rsidRPr="003C5E9B">
        <w:rPr>
          <w:sz w:val="18"/>
          <w:szCs w:val="18"/>
        </w:rPr>
        <w:t>1285th meeting on 3 May 2017 and 1315th meeting, on 2 May 2018 as well as the decisions of the 128th Ministerial Session, 18 May 2018</w:t>
      </w:r>
      <w:r>
        <w:rPr>
          <w:sz w:val="18"/>
          <w:szCs w:val="18"/>
        </w:rPr>
        <w:t>.</w:t>
      </w:r>
    </w:p>
  </w:footnote>
  <w:footnote w:id="7">
    <w:p w:rsidR="0068266C" w:rsidRPr="00C06F48" w:rsidRDefault="0068266C" w:rsidP="007065D6">
      <w:pPr>
        <w:pStyle w:val="FootnoteText"/>
        <w:jc w:val="both"/>
        <w:rPr>
          <w:rFonts w:cs="Tahoma"/>
          <w:sz w:val="18"/>
          <w:szCs w:val="18"/>
          <w:lang w:val="en-GB"/>
        </w:rPr>
      </w:pPr>
      <w:r w:rsidRPr="00C06F48">
        <w:rPr>
          <w:rStyle w:val="FootnoteReference"/>
          <w:rFonts w:cs="Tahoma"/>
          <w:sz w:val="18"/>
          <w:szCs w:val="18"/>
          <w:lang w:val="en-GB"/>
        </w:rPr>
        <w:footnoteRef/>
      </w:r>
      <w:r w:rsidRPr="00C06F48">
        <w:rPr>
          <w:rFonts w:cs="Tahoma"/>
          <w:sz w:val="18"/>
          <w:szCs w:val="18"/>
          <w:lang w:val="en-GB"/>
        </w:rPr>
        <w:t xml:space="preserve"> It is a funda</w:t>
      </w:r>
      <w:r>
        <w:rPr>
          <w:rFonts w:cs="Tahoma"/>
          <w:sz w:val="18"/>
          <w:szCs w:val="18"/>
          <w:lang w:val="en-GB"/>
        </w:rPr>
        <w:t xml:space="preserve">mental objective of the member </w:t>
      </w:r>
      <w:r w:rsidR="00E30F28">
        <w:rPr>
          <w:rFonts w:cs="Tahoma"/>
          <w:sz w:val="18"/>
          <w:szCs w:val="18"/>
          <w:lang w:val="en-GB"/>
        </w:rPr>
        <w:t>S</w:t>
      </w:r>
      <w:r w:rsidRPr="00C06F48">
        <w:rPr>
          <w:rFonts w:cs="Tahoma"/>
          <w:sz w:val="18"/>
          <w:szCs w:val="18"/>
          <w:lang w:val="en-GB"/>
        </w:rPr>
        <w:t xml:space="preserve">tates of the Council of Europe to uphold the territorial integrity of Georgia. However, the Russian Federation recognised South Ossetia and Abkhazia as independent states on 26 August 2008. </w:t>
      </w:r>
    </w:p>
  </w:footnote>
  <w:footnote w:id="8">
    <w:p w:rsidR="007D4D1D" w:rsidRPr="007D4D1D" w:rsidRDefault="007D4D1D">
      <w:pPr>
        <w:pStyle w:val="FootnoteText"/>
        <w:rPr>
          <w:sz w:val="18"/>
          <w:szCs w:val="18"/>
        </w:rPr>
      </w:pPr>
      <w:r w:rsidRPr="00D02496">
        <w:rPr>
          <w:rStyle w:val="FootnoteReference"/>
          <w:sz w:val="18"/>
          <w:szCs w:val="18"/>
        </w:rPr>
        <w:footnoteRef/>
      </w:r>
      <w:r w:rsidRPr="00D02496">
        <w:rPr>
          <w:sz w:val="18"/>
          <w:szCs w:val="18"/>
        </w:rPr>
        <w:t xml:space="preserve"> President Salome </w:t>
      </w:r>
      <w:proofErr w:type="spellStart"/>
      <w:r w:rsidRPr="00D02496">
        <w:rPr>
          <w:sz w:val="18"/>
          <w:szCs w:val="18"/>
        </w:rPr>
        <w:t>Zourabichvili’s</w:t>
      </w:r>
      <w:proofErr w:type="spellEnd"/>
      <w:r w:rsidRPr="00D02496">
        <w:rPr>
          <w:sz w:val="18"/>
          <w:szCs w:val="18"/>
        </w:rPr>
        <w:t xml:space="preserve"> Inauguration Address, 19 December 2018</w:t>
      </w:r>
      <w:r w:rsidR="00E30F28">
        <w:rPr>
          <w:sz w:val="18"/>
          <w:szCs w:val="18"/>
        </w:rPr>
        <w:t>.</w:t>
      </w:r>
    </w:p>
  </w:footnote>
  <w:footnote w:id="9">
    <w:p w:rsidR="00EE7217" w:rsidRPr="00EE7217" w:rsidRDefault="00EE7217" w:rsidP="00EE7217">
      <w:pPr>
        <w:pStyle w:val="FootnoteText"/>
        <w:jc w:val="both"/>
        <w:rPr>
          <w:sz w:val="18"/>
          <w:szCs w:val="18"/>
        </w:rPr>
      </w:pPr>
      <w:r w:rsidRPr="00EE7217">
        <w:rPr>
          <w:rStyle w:val="FootnoteReference"/>
          <w:sz w:val="18"/>
          <w:szCs w:val="18"/>
        </w:rPr>
        <w:footnoteRef/>
      </w:r>
      <w:r w:rsidRPr="00EE7217">
        <w:rPr>
          <w:sz w:val="18"/>
          <w:szCs w:val="18"/>
        </w:rPr>
        <w:t xml:space="preserve"> Press </w:t>
      </w:r>
      <w:r w:rsidR="00E30F28" w:rsidRPr="00E30F28">
        <w:rPr>
          <w:i/>
          <w:sz w:val="18"/>
          <w:szCs w:val="18"/>
        </w:rPr>
        <w:t>c</w:t>
      </w:r>
      <w:r w:rsidRPr="00E30F28">
        <w:rPr>
          <w:i/>
          <w:sz w:val="18"/>
          <w:szCs w:val="18"/>
        </w:rPr>
        <w:t>ommuniqué</w:t>
      </w:r>
      <w:r w:rsidRPr="00EE7217">
        <w:rPr>
          <w:sz w:val="18"/>
          <w:szCs w:val="18"/>
        </w:rPr>
        <w:t xml:space="preserve"> of the Co-Chairs of the Geneva International Discussions, </w:t>
      </w:r>
      <w:r>
        <w:rPr>
          <w:sz w:val="18"/>
          <w:szCs w:val="18"/>
        </w:rPr>
        <w:t xml:space="preserve">13 </w:t>
      </w:r>
      <w:r w:rsidRPr="00EE7217">
        <w:rPr>
          <w:sz w:val="18"/>
          <w:szCs w:val="18"/>
        </w:rPr>
        <w:t>December 2018</w:t>
      </w:r>
      <w:r w:rsidR="00E30F28">
        <w:rPr>
          <w:sz w:val="18"/>
          <w:szCs w:val="18"/>
        </w:rPr>
        <w:t>.</w:t>
      </w:r>
    </w:p>
  </w:footnote>
  <w:footnote w:id="10">
    <w:p w:rsidR="00026363" w:rsidRPr="00380DE3" w:rsidRDefault="00026363">
      <w:pPr>
        <w:pStyle w:val="FootnoteText"/>
        <w:rPr>
          <w:sz w:val="18"/>
          <w:szCs w:val="18"/>
        </w:rPr>
      </w:pPr>
      <w:r>
        <w:rPr>
          <w:rStyle w:val="FootnoteReference"/>
        </w:rPr>
        <w:footnoteRef/>
      </w:r>
      <w:r>
        <w:t xml:space="preserve"> </w:t>
      </w:r>
      <w:r>
        <w:rPr>
          <w:sz w:val="18"/>
          <w:szCs w:val="18"/>
        </w:rPr>
        <w:t>Press release of the Federal Department of Foreign Affairs (FDFA) of Switzerland, 5 February 2019</w:t>
      </w:r>
      <w:r w:rsidR="00113305">
        <w:rPr>
          <w:sz w:val="18"/>
          <w:szCs w:val="18"/>
        </w:rPr>
        <w:t>.</w:t>
      </w:r>
    </w:p>
  </w:footnote>
  <w:footnote w:id="11">
    <w:p w:rsidR="00FA4649" w:rsidRDefault="00FA4649" w:rsidP="004F47A2">
      <w:pPr>
        <w:pStyle w:val="FootnoteText"/>
        <w:jc w:val="both"/>
      </w:pPr>
      <w:r w:rsidRPr="00D02496">
        <w:rPr>
          <w:rStyle w:val="FootnoteReference"/>
        </w:rPr>
        <w:footnoteRef/>
      </w:r>
      <w:r w:rsidRPr="00D02496">
        <w:t xml:space="preserve"> </w:t>
      </w:r>
      <w:r w:rsidR="004F47A2" w:rsidRPr="00D02496">
        <w:rPr>
          <w:sz w:val="18"/>
        </w:rPr>
        <w:t>Searching for missing persons in connection with 1990s and August 2008 conflicts, ICRC news release, 16 November 2018</w:t>
      </w:r>
      <w:r w:rsidR="00113305">
        <w:rPr>
          <w:sz w:val="18"/>
        </w:rPr>
        <w:t>.</w:t>
      </w:r>
    </w:p>
  </w:footnote>
  <w:footnote w:id="12">
    <w:p w:rsidR="00A216B3" w:rsidRPr="00A216B3" w:rsidRDefault="00A216B3" w:rsidP="004F47A2">
      <w:pPr>
        <w:pStyle w:val="FootnoteText"/>
        <w:jc w:val="both"/>
        <w:rPr>
          <w:sz w:val="18"/>
          <w:szCs w:val="18"/>
        </w:rPr>
      </w:pPr>
      <w:r w:rsidRPr="00904187">
        <w:rPr>
          <w:rStyle w:val="FootnoteReference"/>
          <w:sz w:val="18"/>
          <w:szCs w:val="18"/>
        </w:rPr>
        <w:footnoteRef/>
      </w:r>
      <w:r w:rsidRPr="00904187">
        <w:rPr>
          <w:sz w:val="18"/>
          <w:szCs w:val="18"/>
        </w:rPr>
        <w:t xml:space="preserve"> Missing in connection with 1990s, 2008 conflicts: Remains of 23 more people identified, ICRC news release, 12 March 2018</w:t>
      </w:r>
      <w:r w:rsidR="00113305">
        <w:rPr>
          <w:sz w:val="18"/>
          <w:szCs w:val="18"/>
        </w:rPr>
        <w:t>.</w:t>
      </w:r>
    </w:p>
  </w:footnote>
  <w:footnote w:id="13">
    <w:p w:rsidR="00A216B3" w:rsidRPr="007809B2" w:rsidRDefault="00A216B3">
      <w:pPr>
        <w:pStyle w:val="FootnoteText"/>
        <w:rPr>
          <w:sz w:val="18"/>
          <w:szCs w:val="18"/>
        </w:rPr>
      </w:pPr>
      <w:r w:rsidRPr="007809B2">
        <w:rPr>
          <w:rStyle w:val="FootnoteReference"/>
          <w:sz w:val="18"/>
          <w:szCs w:val="18"/>
        </w:rPr>
        <w:footnoteRef/>
      </w:r>
      <w:r w:rsidRPr="007809B2">
        <w:rPr>
          <w:sz w:val="18"/>
          <w:szCs w:val="18"/>
        </w:rPr>
        <w:t xml:space="preserve"> </w:t>
      </w:r>
      <w:r w:rsidR="00BC3D75" w:rsidRPr="00BC3D75">
        <w:rPr>
          <w:sz w:val="18"/>
          <w:szCs w:val="18"/>
        </w:rPr>
        <w:t xml:space="preserve">Commentary of </w:t>
      </w:r>
      <w:r w:rsidR="00BC3D75" w:rsidRPr="00BC3D75">
        <w:rPr>
          <w:i/>
          <w:sz w:val="18"/>
          <w:szCs w:val="18"/>
        </w:rPr>
        <w:t>de facto</w:t>
      </w:r>
      <w:r w:rsidR="00BC3D75" w:rsidRPr="00BC3D75">
        <w:rPr>
          <w:sz w:val="18"/>
          <w:szCs w:val="18"/>
        </w:rPr>
        <w:t xml:space="preserve"> Ombudsperson of Abkhazia, 24 January 2019</w:t>
      </w:r>
      <w:r w:rsidR="001F4FFB">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6C" w:rsidRPr="008F28CD" w:rsidRDefault="0068266C" w:rsidP="004A7D10">
    <w:pPr>
      <w:pStyle w:val="Header"/>
      <w:framePr w:wrap="around" w:vAnchor="text" w:hAnchor="margin" w:xAlign="center" w:y="1"/>
      <w:rPr>
        <w:rStyle w:val="PageNumber"/>
        <w:rFonts w:cs="Tahoma"/>
        <w:sz w:val="20"/>
        <w:szCs w:val="20"/>
      </w:rPr>
    </w:pPr>
    <w:r w:rsidRPr="008F28CD">
      <w:rPr>
        <w:rStyle w:val="PageNumber"/>
        <w:rFonts w:cs="Tahoma"/>
        <w:sz w:val="20"/>
        <w:szCs w:val="20"/>
      </w:rPr>
      <w:fldChar w:fldCharType="begin"/>
    </w:r>
    <w:r w:rsidRPr="008F28CD">
      <w:rPr>
        <w:rStyle w:val="PageNumber"/>
        <w:rFonts w:cs="Tahoma"/>
        <w:sz w:val="20"/>
        <w:szCs w:val="20"/>
      </w:rPr>
      <w:instrText xml:space="preserve">PAGE  </w:instrText>
    </w:r>
    <w:r w:rsidRPr="008F28CD">
      <w:rPr>
        <w:rStyle w:val="PageNumber"/>
        <w:rFonts w:cs="Tahoma"/>
        <w:sz w:val="20"/>
        <w:szCs w:val="20"/>
      </w:rPr>
      <w:fldChar w:fldCharType="separate"/>
    </w:r>
    <w:r w:rsidR="00267157">
      <w:rPr>
        <w:rStyle w:val="PageNumber"/>
        <w:rFonts w:cs="Tahoma"/>
        <w:noProof/>
        <w:sz w:val="20"/>
        <w:szCs w:val="20"/>
      </w:rPr>
      <w:t>14</w:t>
    </w:r>
    <w:r w:rsidRPr="008F28CD">
      <w:rPr>
        <w:rStyle w:val="PageNumber"/>
        <w:rFonts w:cs="Tahoma"/>
        <w:sz w:val="20"/>
        <w:szCs w:val="20"/>
      </w:rPr>
      <w:fldChar w:fldCharType="end"/>
    </w:r>
  </w:p>
  <w:p w:rsidR="0068266C" w:rsidRDefault="0068266C" w:rsidP="004A7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6C" w:rsidRPr="0058560A" w:rsidRDefault="0068266C" w:rsidP="004A7D10">
    <w:pPr>
      <w:pStyle w:val="Header"/>
      <w:framePr w:wrap="around" w:vAnchor="text" w:hAnchor="margin" w:xAlign="center" w:y="1"/>
      <w:rPr>
        <w:rStyle w:val="PageNumber"/>
        <w:rFonts w:cs="Tahoma"/>
        <w:sz w:val="20"/>
        <w:szCs w:val="20"/>
      </w:rPr>
    </w:pPr>
    <w:r w:rsidRPr="0058560A">
      <w:rPr>
        <w:rStyle w:val="PageNumber"/>
        <w:rFonts w:cs="Tahoma"/>
        <w:sz w:val="20"/>
        <w:szCs w:val="20"/>
      </w:rPr>
      <w:fldChar w:fldCharType="begin"/>
    </w:r>
    <w:r w:rsidRPr="0058560A">
      <w:rPr>
        <w:rStyle w:val="PageNumber"/>
        <w:rFonts w:cs="Tahoma"/>
        <w:sz w:val="20"/>
        <w:szCs w:val="20"/>
      </w:rPr>
      <w:instrText xml:space="preserve">PAGE  </w:instrText>
    </w:r>
    <w:r w:rsidRPr="0058560A">
      <w:rPr>
        <w:rStyle w:val="PageNumber"/>
        <w:rFonts w:cs="Tahoma"/>
        <w:sz w:val="20"/>
        <w:szCs w:val="20"/>
      </w:rPr>
      <w:fldChar w:fldCharType="separate"/>
    </w:r>
    <w:r w:rsidR="00267157">
      <w:rPr>
        <w:rStyle w:val="PageNumber"/>
        <w:rFonts w:cs="Tahoma"/>
        <w:noProof/>
        <w:sz w:val="20"/>
        <w:szCs w:val="20"/>
      </w:rPr>
      <w:t>15</w:t>
    </w:r>
    <w:r w:rsidRPr="0058560A">
      <w:rPr>
        <w:rStyle w:val="PageNumber"/>
        <w:rFonts w:cs="Tahoma"/>
        <w:sz w:val="20"/>
        <w:szCs w:val="20"/>
      </w:rPr>
      <w:fldChar w:fldCharType="end"/>
    </w:r>
  </w:p>
  <w:p w:rsidR="0068266C" w:rsidRPr="0058560A" w:rsidRDefault="0068266C" w:rsidP="00335D4F">
    <w:pPr>
      <w:pStyle w:val="Header"/>
      <w:jc w:val="right"/>
      <w:rPr>
        <w:rFonts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6C" w:rsidRDefault="00B53CA3" w:rsidP="0007286C">
    <w:pPr>
      <w:pStyle w:val="Header"/>
      <w:jc w:val="right"/>
    </w:pPr>
    <w:r>
      <w:rPr>
        <w:rFonts w:ascii="Arial" w:hAnsi="Arial" w:cs="Arial"/>
        <w:b/>
        <w:noProof/>
        <w:sz w:val="24"/>
        <w:szCs w:val="24"/>
      </w:rPr>
      <w:drawing>
        <wp:anchor distT="0" distB="0" distL="114300" distR="114300" simplePos="0" relativeHeight="251659264" behindDoc="0" locked="0" layoutInCell="1" allowOverlap="1" wp14:anchorId="515332B9" wp14:editId="7FCDB4A7">
          <wp:simplePos x="0" y="0"/>
          <wp:positionH relativeFrom="margin">
            <wp:posOffset>3850005</wp:posOffset>
          </wp:positionH>
          <wp:positionV relativeFrom="margin">
            <wp:posOffset>-375285</wp:posOffset>
          </wp:positionV>
          <wp:extent cx="1689100" cy="723900"/>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logo-BW-Fil-70yrsCO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0"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639"/>
    <w:multiLevelType w:val="hybridMultilevel"/>
    <w:tmpl w:val="4CF02706"/>
    <w:lvl w:ilvl="0" w:tplc="99EA371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87AED"/>
    <w:multiLevelType w:val="hybridMultilevel"/>
    <w:tmpl w:val="0DFCE7FA"/>
    <w:lvl w:ilvl="0" w:tplc="C41629CE">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A4E08"/>
    <w:multiLevelType w:val="hybridMultilevel"/>
    <w:tmpl w:val="6FE2AB04"/>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E7A7E"/>
    <w:multiLevelType w:val="hybridMultilevel"/>
    <w:tmpl w:val="85B4B582"/>
    <w:lvl w:ilvl="0" w:tplc="836A134E">
      <w:start w:val="59"/>
      <w:numFmt w:val="decimal"/>
      <w:lvlText w:val="%1."/>
      <w:lvlJc w:val="left"/>
      <w:pPr>
        <w:tabs>
          <w:tab w:val="num" w:pos="2340"/>
        </w:tabs>
        <w:ind w:left="234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9D3DF0"/>
    <w:multiLevelType w:val="hybridMultilevel"/>
    <w:tmpl w:val="AAB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9F0471"/>
    <w:multiLevelType w:val="hybridMultilevel"/>
    <w:tmpl w:val="424260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F2755"/>
    <w:multiLevelType w:val="hybridMultilevel"/>
    <w:tmpl w:val="BA62C5C6"/>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67723"/>
    <w:multiLevelType w:val="hybridMultilevel"/>
    <w:tmpl w:val="8A404D40"/>
    <w:lvl w:ilvl="0" w:tplc="07E4EFA8">
      <w:start w:val="5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34685"/>
    <w:multiLevelType w:val="hybridMultilevel"/>
    <w:tmpl w:val="E0E0A3F6"/>
    <w:lvl w:ilvl="0" w:tplc="2B3A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860B5"/>
    <w:multiLevelType w:val="hybridMultilevel"/>
    <w:tmpl w:val="90A8F3C8"/>
    <w:lvl w:ilvl="0" w:tplc="52F29F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713D"/>
    <w:multiLevelType w:val="hybridMultilevel"/>
    <w:tmpl w:val="148CC652"/>
    <w:lvl w:ilvl="0" w:tplc="29A4FC0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E51A2E"/>
    <w:multiLevelType w:val="hybridMultilevel"/>
    <w:tmpl w:val="C05E4DB6"/>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B2BAE"/>
    <w:multiLevelType w:val="multilevel"/>
    <w:tmpl w:val="AE3A7482"/>
    <w:lvl w:ilvl="0">
      <w:start w:val="8"/>
      <w:numFmt w:val="decimal"/>
      <w:lvlText w:val="%1."/>
      <w:lvlJc w:val="left"/>
      <w:pPr>
        <w:tabs>
          <w:tab w:val="num" w:pos="1800"/>
        </w:tabs>
        <w:ind w:left="1800" w:hanging="360"/>
      </w:pPr>
      <w:rPr>
        <w:rFonts w:hint="default"/>
      </w:rPr>
    </w:lvl>
    <w:lvl w:ilvl="1">
      <w:start w:val="13"/>
      <w:numFmt w:val="decimal"/>
      <w:lvlText w:val="%2."/>
      <w:lvlJc w:val="left"/>
      <w:pPr>
        <w:tabs>
          <w:tab w:val="num" w:pos="720"/>
        </w:tabs>
        <w:ind w:left="720" w:hanging="360"/>
      </w:pPr>
      <w:rPr>
        <w:rFonts w:hint="default"/>
        <w:i w:val="0"/>
        <w:iCs w:val="0"/>
        <w:color w:val="000000"/>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6E302F"/>
    <w:multiLevelType w:val="hybridMultilevel"/>
    <w:tmpl w:val="E8B4DD36"/>
    <w:lvl w:ilvl="0" w:tplc="741E398A">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57150E"/>
    <w:multiLevelType w:val="hybridMultilevel"/>
    <w:tmpl w:val="A6BAD8A2"/>
    <w:lvl w:ilvl="0" w:tplc="416EA6A2">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545D7E"/>
    <w:multiLevelType w:val="hybridMultilevel"/>
    <w:tmpl w:val="CE10B40A"/>
    <w:lvl w:ilvl="0" w:tplc="256E381E">
      <w:start w:val="3"/>
      <w:numFmt w:val="low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F0CDA"/>
    <w:multiLevelType w:val="hybridMultilevel"/>
    <w:tmpl w:val="DC16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3A19B2"/>
    <w:multiLevelType w:val="hybridMultilevel"/>
    <w:tmpl w:val="3000E636"/>
    <w:lvl w:ilvl="0" w:tplc="50D45E6A">
      <w:start w:val="1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FB0618"/>
    <w:multiLevelType w:val="hybridMultilevel"/>
    <w:tmpl w:val="9BAEEA92"/>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0D12F7"/>
    <w:multiLevelType w:val="hybridMultilevel"/>
    <w:tmpl w:val="C058A294"/>
    <w:lvl w:ilvl="0" w:tplc="4E6E47DE">
      <w:start w:val="1"/>
      <w:numFmt w:val="none"/>
      <w:lvlText w:val="20."/>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245482"/>
    <w:multiLevelType w:val="multilevel"/>
    <w:tmpl w:val="4922FCFA"/>
    <w:lvl w:ilvl="0">
      <w:start w:val="12"/>
      <w:numFmt w:val="decimal"/>
      <w:lvlText w:val="%1."/>
      <w:lvlJc w:val="left"/>
      <w:pPr>
        <w:tabs>
          <w:tab w:val="num" w:pos="1420"/>
        </w:tabs>
        <w:ind w:left="1420" w:hanging="340"/>
      </w:pPr>
      <w:rPr>
        <w:rFonts w:cs="Colonna M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683C56"/>
    <w:multiLevelType w:val="hybridMultilevel"/>
    <w:tmpl w:val="0A0E31EE"/>
    <w:lvl w:ilvl="0" w:tplc="28B623DA">
      <w:start w:val="1"/>
      <w:numFmt w:val="lowerRoman"/>
      <w:lvlText w:val="%1."/>
      <w:lvlJc w:val="left"/>
      <w:pPr>
        <w:tabs>
          <w:tab w:val="num" w:pos="1200"/>
        </w:tabs>
        <w:ind w:left="1200" w:hanging="720"/>
      </w:pPr>
      <w:rPr>
        <w:rFonts w:hint="default"/>
        <w:b w:val="0"/>
        <w:i w:val="0"/>
        <w:color w:val="000000"/>
        <w:u w:val="non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437B76D1"/>
    <w:multiLevelType w:val="hybridMultilevel"/>
    <w:tmpl w:val="CC66161C"/>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B53CA6"/>
    <w:multiLevelType w:val="multilevel"/>
    <w:tmpl w:val="EB3C0456"/>
    <w:lvl w:ilvl="0">
      <w:start w:val="4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4C85CDC"/>
    <w:multiLevelType w:val="hybridMultilevel"/>
    <w:tmpl w:val="4922FCFA"/>
    <w:lvl w:ilvl="0" w:tplc="68CA644E">
      <w:start w:val="12"/>
      <w:numFmt w:val="decimal"/>
      <w:lvlText w:val="%1."/>
      <w:lvlJc w:val="left"/>
      <w:pPr>
        <w:tabs>
          <w:tab w:val="num" w:pos="1420"/>
        </w:tabs>
        <w:ind w:left="1420" w:hanging="340"/>
      </w:pPr>
      <w:rPr>
        <w:rFonts w:cs="Colonna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D52FF8"/>
    <w:multiLevelType w:val="multilevel"/>
    <w:tmpl w:val="F35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255A8E"/>
    <w:multiLevelType w:val="hybridMultilevel"/>
    <w:tmpl w:val="4F5E5C6A"/>
    <w:lvl w:ilvl="0" w:tplc="17DE07D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C790F49"/>
    <w:multiLevelType w:val="multilevel"/>
    <w:tmpl w:val="3000E636"/>
    <w:lvl w:ilvl="0">
      <w:start w:val="16"/>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D3A6BF7"/>
    <w:multiLevelType w:val="hybridMultilevel"/>
    <w:tmpl w:val="9EC0C616"/>
    <w:lvl w:ilvl="0" w:tplc="B3FA0F48">
      <w:start w:val="40"/>
      <w:numFmt w:val="decimal"/>
      <w:lvlText w:val="%1."/>
      <w:lvlJc w:val="left"/>
      <w:pPr>
        <w:tabs>
          <w:tab w:val="num" w:pos="360"/>
        </w:tabs>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8044D59"/>
    <w:multiLevelType w:val="hybridMultilevel"/>
    <w:tmpl w:val="2652996C"/>
    <w:lvl w:ilvl="0" w:tplc="AA400C9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150BCB"/>
    <w:multiLevelType w:val="multilevel"/>
    <w:tmpl w:val="414C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AE181D"/>
    <w:multiLevelType w:val="hybridMultilevel"/>
    <w:tmpl w:val="5C7EDA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BA2F3B"/>
    <w:multiLevelType w:val="multilevel"/>
    <w:tmpl w:val="AE3A7482"/>
    <w:lvl w:ilvl="0">
      <w:start w:val="8"/>
      <w:numFmt w:val="decimal"/>
      <w:lvlText w:val="%1."/>
      <w:lvlJc w:val="left"/>
      <w:pPr>
        <w:tabs>
          <w:tab w:val="num" w:pos="360"/>
        </w:tabs>
        <w:ind w:left="360" w:hanging="360"/>
      </w:pPr>
      <w:rPr>
        <w:rFonts w:hint="default"/>
      </w:rPr>
    </w:lvl>
    <w:lvl w:ilvl="1">
      <w:start w:val="13"/>
      <w:numFmt w:val="decimal"/>
      <w:lvlText w:val="%2."/>
      <w:lvlJc w:val="left"/>
      <w:pPr>
        <w:tabs>
          <w:tab w:val="num" w:pos="-900"/>
        </w:tabs>
        <w:ind w:left="-900" w:hanging="360"/>
      </w:pPr>
      <w:rPr>
        <w:rFonts w:hint="default"/>
        <w:i w:val="0"/>
        <w:iCs w:val="0"/>
        <w:color w:val="000000"/>
      </w:rPr>
    </w:lvl>
    <w:lvl w:ilvl="2">
      <w:start w:val="1"/>
      <w:numFmt w:val="bullet"/>
      <w:lvlText w:val=""/>
      <w:lvlJc w:val="left"/>
      <w:pPr>
        <w:tabs>
          <w:tab w:val="num" w:pos="900"/>
        </w:tabs>
        <w:ind w:left="90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3">
    <w:nsid w:val="6B142863"/>
    <w:multiLevelType w:val="hybridMultilevel"/>
    <w:tmpl w:val="43AA65CA"/>
    <w:lvl w:ilvl="0" w:tplc="74B24D4A">
      <w:start w:val="8"/>
      <w:numFmt w:val="decimal"/>
      <w:lvlText w:val="%1."/>
      <w:lvlJc w:val="left"/>
      <w:pPr>
        <w:tabs>
          <w:tab w:val="num" w:pos="1080"/>
        </w:tabs>
        <w:ind w:left="1080" w:hanging="360"/>
      </w:pPr>
      <w:rPr>
        <w:rFonts w:hint="default"/>
        <w:i w:val="0"/>
      </w:rPr>
    </w:lvl>
    <w:lvl w:ilvl="1" w:tplc="23A4A328">
      <w:start w:val="13"/>
      <w:numFmt w:val="decimal"/>
      <w:lvlText w:val="%2."/>
      <w:lvlJc w:val="left"/>
      <w:pPr>
        <w:tabs>
          <w:tab w:val="num" w:pos="-180"/>
        </w:tabs>
        <w:ind w:left="-180" w:hanging="360"/>
      </w:pPr>
      <w:rPr>
        <w:rFonts w:hint="default"/>
        <w:i w:val="0"/>
        <w:iCs w:val="0"/>
        <w:color w:val="000000"/>
      </w:rPr>
    </w:lvl>
    <w:lvl w:ilvl="2" w:tplc="0409000B">
      <w:start w:val="1"/>
      <w:numFmt w:val="bullet"/>
      <w:lvlText w:val=""/>
      <w:lvlJc w:val="left"/>
      <w:pPr>
        <w:tabs>
          <w:tab w:val="num" w:pos="1620"/>
        </w:tabs>
        <w:ind w:left="1620" w:hanging="360"/>
      </w:pPr>
      <w:rPr>
        <w:rFonts w:ascii="Wingdings" w:hAnsi="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6B5F5C3F"/>
    <w:multiLevelType w:val="multilevel"/>
    <w:tmpl w:val="D60AEF4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3596303"/>
    <w:multiLevelType w:val="hybridMultilevel"/>
    <w:tmpl w:val="5E045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959E7"/>
    <w:multiLevelType w:val="multilevel"/>
    <w:tmpl w:val="148CC652"/>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AE44EDF"/>
    <w:multiLevelType w:val="hybridMultilevel"/>
    <w:tmpl w:val="118C6A9A"/>
    <w:lvl w:ilvl="0" w:tplc="18420F0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54687F"/>
    <w:multiLevelType w:val="hybridMultilevel"/>
    <w:tmpl w:val="3E4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15"/>
  </w:num>
  <w:num w:numId="4">
    <w:abstractNumId w:val="21"/>
  </w:num>
  <w:num w:numId="5">
    <w:abstractNumId w:val="6"/>
  </w:num>
  <w:num w:numId="6">
    <w:abstractNumId w:val="33"/>
  </w:num>
  <w:num w:numId="7">
    <w:abstractNumId w:val="3"/>
  </w:num>
  <w:num w:numId="8">
    <w:abstractNumId w:val="31"/>
  </w:num>
  <w:num w:numId="9">
    <w:abstractNumId w:val="35"/>
  </w:num>
  <w:num w:numId="10">
    <w:abstractNumId w:val="7"/>
  </w:num>
  <w:num w:numId="11">
    <w:abstractNumId w:val="12"/>
  </w:num>
  <w:num w:numId="12">
    <w:abstractNumId w:val="17"/>
  </w:num>
  <w:num w:numId="13">
    <w:abstractNumId w:val="32"/>
  </w:num>
  <w:num w:numId="14">
    <w:abstractNumId w:val="37"/>
  </w:num>
  <w:num w:numId="15">
    <w:abstractNumId w:val="27"/>
  </w:num>
  <w:num w:numId="16">
    <w:abstractNumId w:val="14"/>
  </w:num>
  <w:num w:numId="17">
    <w:abstractNumId w:val="34"/>
  </w:num>
  <w:num w:numId="18">
    <w:abstractNumId w:val="28"/>
  </w:num>
  <w:num w:numId="19">
    <w:abstractNumId w:val="23"/>
  </w:num>
  <w:num w:numId="20">
    <w:abstractNumId w:val="19"/>
  </w:num>
  <w:num w:numId="21">
    <w:abstractNumId w:val="10"/>
  </w:num>
  <w:num w:numId="22">
    <w:abstractNumId w:val="36"/>
  </w:num>
  <w:num w:numId="23">
    <w:abstractNumId w:val="0"/>
  </w:num>
  <w:num w:numId="24">
    <w:abstractNumId w:val="24"/>
  </w:num>
  <w:num w:numId="25">
    <w:abstractNumId w:val="20"/>
  </w:num>
  <w:num w:numId="26">
    <w:abstractNumId w:val="30"/>
  </w:num>
  <w:num w:numId="27">
    <w:abstractNumId w:val="5"/>
  </w:num>
  <w:num w:numId="28">
    <w:abstractNumId w:val="4"/>
  </w:num>
  <w:num w:numId="29">
    <w:abstractNumId w:val="26"/>
  </w:num>
  <w:num w:numId="30">
    <w:abstractNumId w:val="25"/>
  </w:num>
  <w:num w:numId="31">
    <w:abstractNumId w:val="13"/>
  </w:num>
  <w:num w:numId="32">
    <w:abstractNumId w:val="1"/>
  </w:num>
  <w:num w:numId="33">
    <w:abstractNumId w:val="18"/>
  </w:num>
  <w:num w:numId="34">
    <w:abstractNumId w:val="8"/>
  </w:num>
  <w:num w:numId="35">
    <w:abstractNumId w:val="22"/>
  </w:num>
  <w:num w:numId="36">
    <w:abstractNumId w:val="38"/>
  </w:num>
  <w:num w:numId="37">
    <w:abstractNumId w:val="11"/>
  </w:num>
  <w:num w:numId="38">
    <w:abstractNumId w:val="2"/>
  </w:num>
  <w:num w:numId="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8"/>
    </w:lvlOverride>
    <w:lvlOverride w:ilvl="1">
      <w:startOverride w:val="1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GE Bjorn">
    <w15:presenceInfo w15:providerId="AD" w15:userId="S-1-5-21-1574594750-1263408776-2012955550-54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88"/>
    <w:rsid w:val="00000D9C"/>
    <w:rsid w:val="00001BED"/>
    <w:rsid w:val="000023FC"/>
    <w:rsid w:val="0000289E"/>
    <w:rsid w:val="00004DF1"/>
    <w:rsid w:val="00005179"/>
    <w:rsid w:val="000055E3"/>
    <w:rsid w:val="00005693"/>
    <w:rsid w:val="00006827"/>
    <w:rsid w:val="00007568"/>
    <w:rsid w:val="000135D0"/>
    <w:rsid w:val="00016A05"/>
    <w:rsid w:val="00022C5E"/>
    <w:rsid w:val="00022DEB"/>
    <w:rsid w:val="00023662"/>
    <w:rsid w:val="00024146"/>
    <w:rsid w:val="00025E4E"/>
    <w:rsid w:val="00026363"/>
    <w:rsid w:val="00026C47"/>
    <w:rsid w:val="00027B0C"/>
    <w:rsid w:val="000307EF"/>
    <w:rsid w:val="0003110D"/>
    <w:rsid w:val="00031591"/>
    <w:rsid w:val="00033E30"/>
    <w:rsid w:val="00034959"/>
    <w:rsid w:val="000358F4"/>
    <w:rsid w:val="00035A11"/>
    <w:rsid w:val="00035A9C"/>
    <w:rsid w:val="00035B13"/>
    <w:rsid w:val="00036198"/>
    <w:rsid w:val="00036B6D"/>
    <w:rsid w:val="00037030"/>
    <w:rsid w:val="00037273"/>
    <w:rsid w:val="0003741D"/>
    <w:rsid w:val="00037685"/>
    <w:rsid w:val="00037DFF"/>
    <w:rsid w:val="0004185D"/>
    <w:rsid w:val="00041D6C"/>
    <w:rsid w:val="00042989"/>
    <w:rsid w:val="00044EC8"/>
    <w:rsid w:val="00045A8B"/>
    <w:rsid w:val="00046453"/>
    <w:rsid w:val="000507B1"/>
    <w:rsid w:val="00050AE2"/>
    <w:rsid w:val="00051C1D"/>
    <w:rsid w:val="00052947"/>
    <w:rsid w:val="00052E57"/>
    <w:rsid w:val="000532C1"/>
    <w:rsid w:val="0005406C"/>
    <w:rsid w:val="00054B9A"/>
    <w:rsid w:val="0005560E"/>
    <w:rsid w:val="000557E3"/>
    <w:rsid w:val="00056A8C"/>
    <w:rsid w:val="00057990"/>
    <w:rsid w:val="00061881"/>
    <w:rsid w:val="00061CE5"/>
    <w:rsid w:val="00061D24"/>
    <w:rsid w:val="000620BE"/>
    <w:rsid w:val="00063F17"/>
    <w:rsid w:val="00067927"/>
    <w:rsid w:val="000707DF"/>
    <w:rsid w:val="00071759"/>
    <w:rsid w:val="00071DD7"/>
    <w:rsid w:val="0007286C"/>
    <w:rsid w:val="00074749"/>
    <w:rsid w:val="00077205"/>
    <w:rsid w:val="00077414"/>
    <w:rsid w:val="0008209B"/>
    <w:rsid w:val="00082244"/>
    <w:rsid w:val="00082762"/>
    <w:rsid w:val="00083C04"/>
    <w:rsid w:val="00084285"/>
    <w:rsid w:val="00084D87"/>
    <w:rsid w:val="00085366"/>
    <w:rsid w:val="0008537C"/>
    <w:rsid w:val="00085420"/>
    <w:rsid w:val="00085837"/>
    <w:rsid w:val="000911E5"/>
    <w:rsid w:val="00094240"/>
    <w:rsid w:val="00094EF7"/>
    <w:rsid w:val="00094FD8"/>
    <w:rsid w:val="000962AD"/>
    <w:rsid w:val="00096B02"/>
    <w:rsid w:val="000A0294"/>
    <w:rsid w:val="000A06A4"/>
    <w:rsid w:val="000A3090"/>
    <w:rsid w:val="000A32D5"/>
    <w:rsid w:val="000A496B"/>
    <w:rsid w:val="000A7334"/>
    <w:rsid w:val="000A7650"/>
    <w:rsid w:val="000B32AD"/>
    <w:rsid w:val="000B676A"/>
    <w:rsid w:val="000B727C"/>
    <w:rsid w:val="000C1BC5"/>
    <w:rsid w:val="000C36C5"/>
    <w:rsid w:val="000C3D8C"/>
    <w:rsid w:val="000C45A5"/>
    <w:rsid w:val="000C48D7"/>
    <w:rsid w:val="000C5449"/>
    <w:rsid w:val="000C6FE9"/>
    <w:rsid w:val="000C7BCB"/>
    <w:rsid w:val="000D1915"/>
    <w:rsid w:val="000D1BF7"/>
    <w:rsid w:val="000D1E23"/>
    <w:rsid w:val="000D2F20"/>
    <w:rsid w:val="000D352C"/>
    <w:rsid w:val="000D5FCF"/>
    <w:rsid w:val="000D75E3"/>
    <w:rsid w:val="000D7B41"/>
    <w:rsid w:val="000E0E50"/>
    <w:rsid w:val="000E3299"/>
    <w:rsid w:val="000E3EB9"/>
    <w:rsid w:val="000E4E19"/>
    <w:rsid w:val="000E552D"/>
    <w:rsid w:val="000E637F"/>
    <w:rsid w:val="000F130A"/>
    <w:rsid w:val="000F2E86"/>
    <w:rsid w:val="000F3549"/>
    <w:rsid w:val="000F3B21"/>
    <w:rsid w:val="000F3E1B"/>
    <w:rsid w:val="000F4414"/>
    <w:rsid w:val="000F4F4C"/>
    <w:rsid w:val="000F51CC"/>
    <w:rsid w:val="000F5E3C"/>
    <w:rsid w:val="000F7E03"/>
    <w:rsid w:val="001006BC"/>
    <w:rsid w:val="00100D09"/>
    <w:rsid w:val="00102173"/>
    <w:rsid w:val="00102FA6"/>
    <w:rsid w:val="001047EE"/>
    <w:rsid w:val="001073DE"/>
    <w:rsid w:val="00107466"/>
    <w:rsid w:val="00110EFD"/>
    <w:rsid w:val="00111266"/>
    <w:rsid w:val="001130D9"/>
    <w:rsid w:val="00113305"/>
    <w:rsid w:val="00115498"/>
    <w:rsid w:val="001159DA"/>
    <w:rsid w:val="00115CB1"/>
    <w:rsid w:val="00117828"/>
    <w:rsid w:val="00120818"/>
    <w:rsid w:val="00120B85"/>
    <w:rsid w:val="00120E87"/>
    <w:rsid w:val="0012127C"/>
    <w:rsid w:val="00121BE2"/>
    <w:rsid w:val="00121E3C"/>
    <w:rsid w:val="00122964"/>
    <w:rsid w:val="00123089"/>
    <w:rsid w:val="001237C3"/>
    <w:rsid w:val="00123B31"/>
    <w:rsid w:val="001240D9"/>
    <w:rsid w:val="00124C0A"/>
    <w:rsid w:val="0012636A"/>
    <w:rsid w:val="0012773A"/>
    <w:rsid w:val="00131E92"/>
    <w:rsid w:val="00132539"/>
    <w:rsid w:val="00133D5D"/>
    <w:rsid w:val="001345CF"/>
    <w:rsid w:val="00134647"/>
    <w:rsid w:val="0013695C"/>
    <w:rsid w:val="00137C15"/>
    <w:rsid w:val="00140460"/>
    <w:rsid w:val="00141693"/>
    <w:rsid w:val="00142257"/>
    <w:rsid w:val="00142488"/>
    <w:rsid w:val="00142882"/>
    <w:rsid w:val="0014290B"/>
    <w:rsid w:val="00143BF8"/>
    <w:rsid w:val="00143E44"/>
    <w:rsid w:val="00143E7A"/>
    <w:rsid w:val="00146AD1"/>
    <w:rsid w:val="00146BC0"/>
    <w:rsid w:val="00147047"/>
    <w:rsid w:val="00147950"/>
    <w:rsid w:val="00150060"/>
    <w:rsid w:val="00150DCF"/>
    <w:rsid w:val="00152040"/>
    <w:rsid w:val="00153315"/>
    <w:rsid w:val="0015348A"/>
    <w:rsid w:val="00156C53"/>
    <w:rsid w:val="0015709F"/>
    <w:rsid w:val="0015751E"/>
    <w:rsid w:val="001606E3"/>
    <w:rsid w:val="001606FA"/>
    <w:rsid w:val="00160C68"/>
    <w:rsid w:val="00161712"/>
    <w:rsid w:val="001627A7"/>
    <w:rsid w:val="00162837"/>
    <w:rsid w:val="00163C6A"/>
    <w:rsid w:val="00163D97"/>
    <w:rsid w:val="00165B0F"/>
    <w:rsid w:val="0016626A"/>
    <w:rsid w:val="001673E1"/>
    <w:rsid w:val="001713B1"/>
    <w:rsid w:val="0017142C"/>
    <w:rsid w:val="00171E1C"/>
    <w:rsid w:val="00171FCA"/>
    <w:rsid w:val="001720A7"/>
    <w:rsid w:val="0017284A"/>
    <w:rsid w:val="001736B7"/>
    <w:rsid w:val="0017472C"/>
    <w:rsid w:val="00175832"/>
    <w:rsid w:val="00176285"/>
    <w:rsid w:val="0017631A"/>
    <w:rsid w:val="00177090"/>
    <w:rsid w:val="0018087C"/>
    <w:rsid w:val="00181A7B"/>
    <w:rsid w:val="00183EAE"/>
    <w:rsid w:val="001855EA"/>
    <w:rsid w:val="00186891"/>
    <w:rsid w:val="00186907"/>
    <w:rsid w:val="001905BD"/>
    <w:rsid w:val="001910AA"/>
    <w:rsid w:val="00192067"/>
    <w:rsid w:val="00192C14"/>
    <w:rsid w:val="001933E8"/>
    <w:rsid w:val="001936C6"/>
    <w:rsid w:val="00193E51"/>
    <w:rsid w:val="00194FC5"/>
    <w:rsid w:val="0019794A"/>
    <w:rsid w:val="00197ADD"/>
    <w:rsid w:val="00197BB0"/>
    <w:rsid w:val="001A03BA"/>
    <w:rsid w:val="001A218A"/>
    <w:rsid w:val="001A378F"/>
    <w:rsid w:val="001A3E01"/>
    <w:rsid w:val="001A4C94"/>
    <w:rsid w:val="001A7415"/>
    <w:rsid w:val="001B0246"/>
    <w:rsid w:val="001B0711"/>
    <w:rsid w:val="001B1241"/>
    <w:rsid w:val="001B18C4"/>
    <w:rsid w:val="001B25E0"/>
    <w:rsid w:val="001B3DB5"/>
    <w:rsid w:val="001B4E8F"/>
    <w:rsid w:val="001B57FC"/>
    <w:rsid w:val="001B5E32"/>
    <w:rsid w:val="001C077C"/>
    <w:rsid w:val="001C18EF"/>
    <w:rsid w:val="001C1D8C"/>
    <w:rsid w:val="001C1F83"/>
    <w:rsid w:val="001C2219"/>
    <w:rsid w:val="001C4526"/>
    <w:rsid w:val="001C4DF0"/>
    <w:rsid w:val="001C68AC"/>
    <w:rsid w:val="001C71DF"/>
    <w:rsid w:val="001C7484"/>
    <w:rsid w:val="001D24D2"/>
    <w:rsid w:val="001D3BC1"/>
    <w:rsid w:val="001D4CD4"/>
    <w:rsid w:val="001D58CE"/>
    <w:rsid w:val="001D7DEE"/>
    <w:rsid w:val="001E02D3"/>
    <w:rsid w:val="001E1E7C"/>
    <w:rsid w:val="001E2E6E"/>
    <w:rsid w:val="001E47D6"/>
    <w:rsid w:val="001E6CAA"/>
    <w:rsid w:val="001E7189"/>
    <w:rsid w:val="001E7DE8"/>
    <w:rsid w:val="001F1152"/>
    <w:rsid w:val="001F1CD5"/>
    <w:rsid w:val="001F4FFB"/>
    <w:rsid w:val="001F5251"/>
    <w:rsid w:val="001F72B1"/>
    <w:rsid w:val="001F7DAA"/>
    <w:rsid w:val="0020131E"/>
    <w:rsid w:val="002022B2"/>
    <w:rsid w:val="002030D5"/>
    <w:rsid w:val="00203ADA"/>
    <w:rsid w:val="002044B6"/>
    <w:rsid w:val="00204FEA"/>
    <w:rsid w:val="002051E7"/>
    <w:rsid w:val="0020563F"/>
    <w:rsid w:val="00205923"/>
    <w:rsid w:val="00205BCA"/>
    <w:rsid w:val="0020683D"/>
    <w:rsid w:val="0020725D"/>
    <w:rsid w:val="00210894"/>
    <w:rsid w:val="00211560"/>
    <w:rsid w:val="0021225A"/>
    <w:rsid w:val="0021233C"/>
    <w:rsid w:val="00214284"/>
    <w:rsid w:val="00214672"/>
    <w:rsid w:val="0021536C"/>
    <w:rsid w:val="00216655"/>
    <w:rsid w:val="00216B35"/>
    <w:rsid w:val="00217805"/>
    <w:rsid w:val="0021780F"/>
    <w:rsid w:val="002179D0"/>
    <w:rsid w:val="00217B00"/>
    <w:rsid w:val="00220988"/>
    <w:rsid w:val="00220A35"/>
    <w:rsid w:val="00221DF8"/>
    <w:rsid w:val="00221F3B"/>
    <w:rsid w:val="002227B3"/>
    <w:rsid w:val="002233DB"/>
    <w:rsid w:val="00224F84"/>
    <w:rsid w:val="002251D5"/>
    <w:rsid w:val="00225251"/>
    <w:rsid w:val="0022570A"/>
    <w:rsid w:val="00225909"/>
    <w:rsid w:val="0022670F"/>
    <w:rsid w:val="00227573"/>
    <w:rsid w:val="00227D1B"/>
    <w:rsid w:val="00230808"/>
    <w:rsid w:val="00230DF8"/>
    <w:rsid w:val="00231426"/>
    <w:rsid w:val="002329AA"/>
    <w:rsid w:val="00232A5F"/>
    <w:rsid w:val="00232E80"/>
    <w:rsid w:val="0023605A"/>
    <w:rsid w:val="00236457"/>
    <w:rsid w:val="00236917"/>
    <w:rsid w:val="00240F0D"/>
    <w:rsid w:val="00241F2E"/>
    <w:rsid w:val="002428FF"/>
    <w:rsid w:val="002445D1"/>
    <w:rsid w:val="002449C4"/>
    <w:rsid w:val="00244AE6"/>
    <w:rsid w:val="00246902"/>
    <w:rsid w:val="00246E1B"/>
    <w:rsid w:val="002470E8"/>
    <w:rsid w:val="0024758E"/>
    <w:rsid w:val="002478B4"/>
    <w:rsid w:val="00250533"/>
    <w:rsid w:val="0025228A"/>
    <w:rsid w:val="00252650"/>
    <w:rsid w:val="00252AD7"/>
    <w:rsid w:val="00257030"/>
    <w:rsid w:val="00260862"/>
    <w:rsid w:val="00260C00"/>
    <w:rsid w:val="00261908"/>
    <w:rsid w:val="00261B80"/>
    <w:rsid w:val="002623D6"/>
    <w:rsid w:val="00263386"/>
    <w:rsid w:val="002633BD"/>
    <w:rsid w:val="00266AD1"/>
    <w:rsid w:val="00267157"/>
    <w:rsid w:val="00270A7B"/>
    <w:rsid w:val="00270BDD"/>
    <w:rsid w:val="00271858"/>
    <w:rsid w:val="00271B2A"/>
    <w:rsid w:val="00272808"/>
    <w:rsid w:val="0027282C"/>
    <w:rsid w:val="0027300A"/>
    <w:rsid w:val="00277B06"/>
    <w:rsid w:val="00277C9F"/>
    <w:rsid w:val="00280060"/>
    <w:rsid w:val="002852F7"/>
    <w:rsid w:val="00286717"/>
    <w:rsid w:val="002871A1"/>
    <w:rsid w:val="00287B8A"/>
    <w:rsid w:val="002915EB"/>
    <w:rsid w:val="002946DC"/>
    <w:rsid w:val="00297222"/>
    <w:rsid w:val="00297BF7"/>
    <w:rsid w:val="002A0037"/>
    <w:rsid w:val="002A0AF6"/>
    <w:rsid w:val="002A1176"/>
    <w:rsid w:val="002A17C1"/>
    <w:rsid w:val="002A1B48"/>
    <w:rsid w:val="002A28C2"/>
    <w:rsid w:val="002A33FE"/>
    <w:rsid w:val="002A4F75"/>
    <w:rsid w:val="002A5401"/>
    <w:rsid w:val="002A5DF3"/>
    <w:rsid w:val="002A791F"/>
    <w:rsid w:val="002A7C2E"/>
    <w:rsid w:val="002A7D66"/>
    <w:rsid w:val="002B08F6"/>
    <w:rsid w:val="002B1EFD"/>
    <w:rsid w:val="002B728B"/>
    <w:rsid w:val="002B7B90"/>
    <w:rsid w:val="002C024E"/>
    <w:rsid w:val="002C0EC9"/>
    <w:rsid w:val="002C1CC0"/>
    <w:rsid w:val="002C2ABF"/>
    <w:rsid w:val="002C4B7C"/>
    <w:rsid w:val="002C56F9"/>
    <w:rsid w:val="002C5731"/>
    <w:rsid w:val="002C6FFA"/>
    <w:rsid w:val="002C75BC"/>
    <w:rsid w:val="002C7EC0"/>
    <w:rsid w:val="002D1B8E"/>
    <w:rsid w:val="002D1E05"/>
    <w:rsid w:val="002D30DB"/>
    <w:rsid w:val="002D36A9"/>
    <w:rsid w:val="002D43D0"/>
    <w:rsid w:val="002D7B8B"/>
    <w:rsid w:val="002E0AB7"/>
    <w:rsid w:val="002E140F"/>
    <w:rsid w:val="002E1457"/>
    <w:rsid w:val="002E2FB7"/>
    <w:rsid w:val="002E30A2"/>
    <w:rsid w:val="002E452C"/>
    <w:rsid w:val="002E4849"/>
    <w:rsid w:val="002E4F34"/>
    <w:rsid w:val="002E611E"/>
    <w:rsid w:val="002E69FD"/>
    <w:rsid w:val="002E6BDB"/>
    <w:rsid w:val="002E7817"/>
    <w:rsid w:val="002F1704"/>
    <w:rsid w:val="002F2F33"/>
    <w:rsid w:val="002F3EDF"/>
    <w:rsid w:val="002F453A"/>
    <w:rsid w:val="002F6135"/>
    <w:rsid w:val="002F6329"/>
    <w:rsid w:val="002F6B16"/>
    <w:rsid w:val="002F79FA"/>
    <w:rsid w:val="00300163"/>
    <w:rsid w:val="0030180B"/>
    <w:rsid w:val="0030249F"/>
    <w:rsid w:val="003029F7"/>
    <w:rsid w:val="003047A1"/>
    <w:rsid w:val="00304A30"/>
    <w:rsid w:val="00305603"/>
    <w:rsid w:val="003059B6"/>
    <w:rsid w:val="0030601D"/>
    <w:rsid w:val="00306B88"/>
    <w:rsid w:val="003100C4"/>
    <w:rsid w:val="003113CB"/>
    <w:rsid w:val="00313093"/>
    <w:rsid w:val="00313E5A"/>
    <w:rsid w:val="0031405A"/>
    <w:rsid w:val="00316795"/>
    <w:rsid w:val="003204FD"/>
    <w:rsid w:val="003215F3"/>
    <w:rsid w:val="003221EE"/>
    <w:rsid w:val="003233D4"/>
    <w:rsid w:val="0032389B"/>
    <w:rsid w:val="00324A9F"/>
    <w:rsid w:val="0032536F"/>
    <w:rsid w:val="00326324"/>
    <w:rsid w:val="00326950"/>
    <w:rsid w:val="00326C4A"/>
    <w:rsid w:val="003331CA"/>
    <w:rsid w:val="003337E5"/>
    <w:rsid w:val="0033398C"/>
    <w:rsid w:val="00335486"/>
    <w:rsid w:val="003359F3"/>
    <w:rsid w:val="00335D4F"/>
    <w:rsid w:val="003361FA"/>
    <w:rsid w:val="00340E5A"/>
    <w:rsid w:val="00341178"/>
    <w:rsid w:val="003423A1"/>
    <w:rsid w:val="003425D0"/>
    <w:rsid w:val="0034260B"/>
    <w:rsid w:val="003432F4"/>
    <w:rsid w:val="003449BB"/>
    <w:rsid w:val="00346C90"/>
    <w:rsid w:val="00346DEA"/>
    <w:rsid w:val="00347371"/>
    <w:rsid w:val="003478CA"/>
    <w:rsid w:val="00347A32"/>
    <w:rsid w:val="0035072B"/>
    <w:rsid w:val="00352B1F"/>
    <w:rsid w:val="00354029"/>
    <w:rsid w:val="003546DC"/>
    <w:rsid w:val="00355417"/>
    <w:rsid w:val="00355ABC"/>
    <w:rsid w:val="00355EB5"/>
    <w:rsid w:val="00357B9D"/>
    <w:rsid w:val="00357C8B"/>
    <w:rsid w:val="00361D95"/>
    <w:rsid w:val="00362BC4"/>
    <w:rsid w:val="00363FAB"/>
    <w:rsid w:val="00365076"/>
    <w:rsid w:val="003672B9"/>
    <w:rsid w:val="00367E5C"/>
    <w:rsid w:val="00372133"/>
    <w:rsid w:val="00374353"/>
    <w:rsid w:val="003756F0"/>
    <w:rsid w:val="00376E04"/>
    <w:rsid w:val="00377477"/>
    <w:rsid w:val="003777BE"/>
    <w:rsid w:val="00377AD8"/>
    <w:rsid w:val="00380B0B"/>
    <w:rsid w:val="00380DE3"/>
    <w:rsid w:val="0038145A"/>
    <w:rsid w:val="00382CD8"/>
    <w:rsid w:val="003832B3"/>
    <w:rsid w:val="00383621"/>
    <w:rsid w:val="00384E39"/>
    <w:rsid w:val="00386BFA"/>
    <w:rsid w:val="003878C0"/>
    <w:rsid w:val="00387E87"/>
    <w:rsid w:val="0039037E"/>
    <w:rsid w:val="003904B1"/>
    <w:rsid w:val="00392225"/>
    <w:rsid w:val="003935B1"/>
    <w:rsid w:val="00394404"/>
    <w:rsid w:val="003974E2"/>
    <w:rsid w:val="0039797F"/>
    <w:rsid w:val="003A05E7"/>
    <w:rsid w:val="003A30C3"/>
    <w:rsid w:val="003A421C"/>
    <w:rsid w:val="003A59FD"/>
    <w:rsid w:val="003A6A4E"/>
    <w:rsid w:val="003A76B3"/>
    <w:rsid w:val="003A7B38"/>
    <w:rsid w:val="003A7C8B"/>
    <w:rsid w:val="003B25E3"/>
    <w:rsid w:val="003B43F8"/>
    <w:rsid w:val="003B4DF1"/>
    <w:rsid w:val="003B6C0D"/>
    <w:rsid w:val="003B7CB2"/>
    <w:rsid w:val="003C0808"/>
    <w:rsid w:val="003C09BC"/>
    <w:rsid w:val="003C23D1"/>
    <w:rsid w:val="003C274B"/>
    <w:rsid w:val="003C44E6"/>
    <w:rsid w:val="003C5E9B"/>
    <w:rsid w:val="003D0955"/>
    <w:rsid w:val="003D193B"/>
    <w:rsid w:val="003D64C1"/>
    <w:rsid w:val="003D6DF6"/>
    <w:rsid w:val="003E1CB1"/>
    <w:rsid w:val="003E1F6D"/>
    <w:rsid w:val="003E3034"/>
    <w:rsid w:val="003E3375"/>
    <w:rsid w:val="003E483A"/>
    <w:rsid w:val="003E550D"/>
    <w:rsid w:val="003E5840"/>
    <w:rsid w:val="003E6F1C"/>
    <w:rsid w:val="003E772C"/>
    <w:rsid w:val="003E7C57"/>
    <w:rsid w:val="003F0A85"/>
    <w:rsid w:val="003F0C9E"/>
    <w:rsid w:val="003F365A"/>
    <w:rsid w:val="003F370C"/>
    <w:rsid w:val="003F6157"/>
    <w:rsid w:val="003F69B1"/>
    <w:rsid w:val="0040014F"/>
    <w:rsid w:val="004022B0"/>
    <w:rsid w:val="00402352"/>
    <w:rsid w:val="00403634"/>
    <w:rsid w:val="00403C80"/>
    <w:rsid w:val="00404591"/>
    <w:rsid w:val="00404C2E"/>
    <w:rsid w:val="004051C4"/>
    <w:rsid w:val="004062E7"/>
    <w:rsid w:val="00406CB3"/>
    <w:rsid w:val="00410E41"/>
    <w:rsid w:val="00411335"/>
    <w:rsid w:val="004120C1"/>
    <w:rsid w:val="004124BB"/>
    <w:rsid w:val="0041378E"/>
    <w:rsid w:val="00413DD9"/>
    <w:rsid w:val="004147B8"/>
    <w:rsid w:val="00417575"/>
    <w:rsid w:val="004210CE"/>
    <w:rsid w:val="00421784"/>
    <w:rsid w:val="00421D94"/>
    <w:rsid w:val="00422608"/>
    <w:rsid w:val="0042351B"/>
    <w:rsid w:val="00423A83"/>
    <w:rsid w:val="00424770"/>
    <w:rsid w:val="00424B1A"/>
    <w:rsid w:val="00424C95"/>
    <w:rsid w:val="0042583A"/>
    <w:rsid w:val="00426083"/>
    <w:rsid w:val="0042671E"/>
    <w:rsid w:val="004273C8"/>
    <w:rsid w:val="004279CF"/>
    <w:rsid w:val="004301ED"/>
    <w:rsid w:val="00430510"/>
    <w:rsid w:val="004336CF"/>
    <w:rsid w:val="00433C93"/>
    <w:rsid w:val="00434709"/>
    <w:rsid w:val="00436531"/>
    <w:rsid w:val="00436ED6"/>
    <w:rsid w:val="00442347"/>
    <w:rsid w:val="00442384"/>
    <w:rsid w:val="00445323"/>
    <w:rsid w:val="00451F7F"/>
    <w:rsid w:val="00452FFB"/>
    <w:rsid w:val="00453D13"/>
    <w:rsid w:val="00454165"/>
    <w:rsid w:val="004545DE"/>
    <w:rsid w:val="0045502C"/>
    <w:rsid w:val="004563F8"/>
    <w:rsid w:val="00456838"/>
    <w:rsid w:val="00456FA9"/>
    <w:rsid w:val="004578A5"/>
    <w:rsid w:val="004641F3"/>
    <w:rsid w:val="00466A83"/>
    <w:rsid w:val="00467916"/>
    <w:rsid w:val="00467A72"/>
    <w:rsid w:val="00470245"/>
    <w:rsid w:val="0047029D"/>
    <w:rsid w:val="00473383"/>
    <w:rsid w:val="00474541"/>
    <w:rsid w:val="00474F0A"/>
    <w:rsid w:val="004753DD"/>
    <w:rsid w:val="00476091"/>
    <w:rsid w:val="0047779A"/>
    <w:rsid w:val="004816C3"/>
    <w:rsid w:val="00481885"/>
    <w:rsid w:val="00481FAB"/>
    <w:rsid w:val="00482297"/>
    <w:rsid w:val="004826C5"/>
    <w:rsid w:val="004828F3"/>
    <w:rsid w:val="00482E7F"/>
    <w:rsid w:val="00482F0A"/>
    <w:rsid w:val="00482FA6"/>
    <w:rsid w:val="00483E54"/>
    <w:rsid w:val="00484D17"/>
    <w:rsid w:val="004853EA"/>
    <w:rsid w:val="0048796D"/>
    <w:rsid w:val="004901DD"/>
    <w:rsid w:val="0049235E"/>
    <w:rsid w:val="004925A8"/>
    <w:rsid w:val="00492706"/>
    <w:rsid w:val="004929FC"/>
    <w:rsid w:val="004930A5"/>
    <w:rsid w:val="00493158"/>
    <w:rsid w:val="004954F0"/>
    <w:rsid w:val="004956A2"/>
    <w:rsid w:val="0049609E"/>
    <w:rsid w:val="004A2C83"/>
    <w:rsid w:val="004A4164"/>
    <w:rsid w:val="004A5F9A"/>
    <w:rsid w:val="004A7CFD"/>
    <w:rsid w:val="004A7D10"/>
    <w:rsid w:val="004A7F92"/>
    <w:rsid w:val="004B1E16"/>
    <w:rsid w:val="004B214D"/>
    <w:rsid w:val="004B361D"/>
    <w:rsid w:val="004B4649"/>
    <w:rsid w:val="004B4D23"/>
    <w:rsid w:val="004B5D24"/>
    <w:rsid w:val="004B64E1"/>
    <w:rsid w:val="004B6616"/>
    <w:rsid w:val="004B78FE"/>
    <w:rsid w:val="004B7C7F"/>
    <w:rsid w:val="004C19A2"/>
    <w:rsid w:val="004C1E53"/>
    <w:rsid w:val="004C20BE"/>
    <w:rsid w:val="004C2222"/>
    <w:rsid w:val="004C254F"/>
    <w:rsid w:val="004C355D"/>
    <w:rsid w:val="004C3BE4"/>
    <w:rsid w:val="004C43CC"/>
    <w:rsid w:val="004C4D2E"/>
    <w:rsid w:val="004C4FF6"/>
    <w:rsid w:val="004D048E"/>
    <w:rsid w:val="004D0EAC"/>
    <w:rsid w:val="004D12AA"/>
    <w:rsid w:val="004D2814"/>
    <w:rsid w:val="004D2EDE"/>
    <w:rsid w:val="004D38D4"/>
    <w:rsid w:val="004D563F"/>
    <w:rsid w:val="004D59EA"/>
    <w:rsid w:val="004D620C"/>
    <w:rsid w:val="004D6D74"/>
    <w:rsid w:val="004D7D87"/>
    <w:rsid w:val="004E1563"/>
    <w:rsid w:val="004E2332"/>
    <w:rsid w:val="004E2F87"/>
    <w:rsid w:val="004E37D0"/>
    <w:rsid w:val="004E5FB4"/>
    <w:rsid w:val="004F0AD4"/>
    <w:rsid w:val="004F14D6"/>
    <w:rsid w:val="004F195B"/>
    <w:rsid w:val="004F38CA"/>
    <w:rsid w:val="004F445A"/>
    <w:rsid w:val="004F47A2"/>
    <w:rsid w:val="004F639B"/>
    <w:rsid w:val="004F6C38"/>
    <w:rsid w:val="004F7649"/>
    <w:rsid w:val="00503F4F"/>
    <w:rsid w:val="00505E46"/>
    <w:rsid w:val="00506073"/>
    <w:rsid w:val="00507878"/>
    <w:rsid w:val="00507C4B"/>
    <w:rsid w:val="00507CCD"/>
    <w:rsid w:val="00510B7C"/>
    <w:rsid w:val="00511BDF"/>
    <w:rsid w:val="00511CC0"/>
    <w:rsid w:val="00512027"/>
    <w:rsid w:val="005122E4"/>
    <w:rsid w:val="00512702"/>
    <w:rsid w:val="005135FB"/>
    <w:rsid w:val="00514D9E"/>
    <w:rsid w:val="00515076"/>
    <w:rsid w:val="00516F2B"/>
    <w:rsid w:val="00516FDB"/>
    <w:rsid w:val="00517B6D"/>
    <w:rsid w:val="00517DAD"/>
    <w:rsid w:val="00520E9F"/>
    <w:rsid w:val="00521639"/>
    <w:rsid w:val="00524B60"/>
    <w:rsid w:val="005260F6"/>
    <w:rsid w:val="005268AB"/>
    <w:rsid w:val="00527C42"/>
    <w:rsid w:val="00527F7B"/>
    <w:rsid w:val="00530C7E"/>
    <w:rsid w:val="00532501"/>
    <w:rsid w:val="005327CB"/>
    <w:rsid w:val="00533707"/>
    <w:rsid w:val="0053636D"/>
    <w:rsid w:val="005366DB"/>
    <w:rsid w:val="0054044B"/>
    <w:rsid w:val="00540918"/>
    <w:rsid w:val="005414B4"/>
    <w:rsid w:val="00541A12"/>
    <w:rsid w:val="00545C63"/>
    <w:rsid w:val="005462B8"/>
    <w:rsid w:val="00546803"/>
    <w:rsid w:val="0054714C"/>
    <w:rsid w:val="00553C6C"/>
    <w:rsid w:val="0055526B"/>
    <w:rsid w:val="005601B7"/>
    <w:rsid w:val="005607B4"/>
    <w:rsid w:val="00561D69"/>
    <w:rsid w:val="00561DB5"/>
    <w:rsid w:val="0056348F"/>
    <w:rsid w:val="005640B2"/>
    <w:rsid w:val="00566F35"/>
    <w:rsid w:val="005729CF"/>
    <w:rsid w:val="00572A9E"/>
    <w:rsid w:val="00572FCC"/>
    <w:rsid w:val="00574794"/>
    <w:rsid w:val="0057685F"/>
    <w:rsid w:val="005779C7"/>
    <w:rsid w:val="005807DA"/>
    <w:rsid w:val="00581832"/>
    <w:rsid w:val="0058365B"/>
    <w:rsid w:val="00583E63"/>
    <w:rsid w:val="0058409B"/>
    <w:rsid w:val="00587AC0"/>
    <w:rsid w:val="005909E7"/>
    <w:rsid w:val="005928EB"/>
    <w:rsid w:val="00593A1C"/>
    <w:rsid w:val="00594307"/>
    <w:rsid w:val="005943F6"/>
    <w:rsid w:val="00594C31"/>
    <w:rsid w:val="00597168"/>
    <w:rsid w:val="0059722A"/>
    <w:rsid w:val="00597B2B"/>
    <w:rsid w:val="005A0A74"/>
    <w:rsid w:val="005A11D0"/>
    <w:rsid w:val="005A1E42"/>
    <w:rsid w:val="005A22C4"/>
    <w:rsid w:val="005A4CAF"/>
    <w:rsid w:val="005A548B"/>
    <w:rsid w:val="005A5793"/>
    <w:rsid w:val="005A7A2A"/>
    <w:rsid w:val="005B3817"/>
    <w:rsid w:val="005B5D87"/>
    <w:rsid w:val="005C15A9"/>
    <w:rsid w:val="005C2829"/>
    <w:rsid w:val="005C4990"/>
    <w:rsid w:val="005C4A8C"/>
    <w:rsid w:val="005C60D2"/>
    <w:rsid w:val="005C6285"/>
    <w:rsid w:val="005C6922"/>
    <w:rsid w:val="005C7599"/>
    <w:rsid w:val="005C7866"/>
    <w:rsid w:val="005C7932"/>
    <w:rsid w:val="005D0B94"/>
    <w:rsid w:val="005D1503"/>
    <w:rsid w:val="005D41DF"/>
    <w:rsid w:val="005D4410"/>
    <w:rsid w:val="005E3C52"/>
    <w:rsid w:val="005E46B9"/>
    <w:rsid w:val="005E647F"/>
    <w:rsid w:val="005F0662"/>
    <w:rsid w:val="005F1977"/>
    <w:rsid w:val="005F2169"/>
    <w:rsid w:val="005F2C05"/>
    <w:rsid w:val="005F3065"/>
    <w:rsid w:val="005F3EE4"/>
    <w:rsid w:val="005F5476"/>
    <w:rsid w:val="005F7679"/>
    <w:rsid w:val="005F7797"/>
    <w:rsid w:val="005F793E"/>
    <w:rsid w:val="005F7B97"/>
    <w:rsid w:val="0060132F"/>
    <w:rsid w:val="00603A77"/>
    <w:rsid w:val="006047A5"/>
    <w:rsid w:val="0060498C"/>
    <w:rsid w:val="00604CFA"/>
    <w:rsid w:val="0060710E"/>
    <w:rsid w:val="00607E96"/>
    <w:rsid w:val="00610433"/>
    <w:rsid w:val="006104AE"/>
    <w:rsid w:val="00611243"/>
    <w:rsid w:val="00611D7C"/>
    <w:rsid w:val="00611F59"/>
    <w:rsid w:val="0061215E"/>
    <w:rsid w:val="00615DC4"/>
    <w:rsid w:val="0061646A"/>
    <w:rsid w:val="00616FF6"/>
    <w:rsid w:val="0061721C"/>
    <w:rsid w:val="00617E1F"/>
    <w:rsid w:val="00621791"/>
    <w:rsid w:val="00621D1D"/>
    <w:rsid w:val="006225EF"/>
    <w:rsid w:val="00623B73"/>
    <w:rsid w:val="00633193"/>
    <w:rsid w:val="006333A4"/>
    <w:rsid w:val="006334C2"/>
    <w:rsid w:val="00633EF1"/>
    <w:rsid w:val="00634862"/>
    <w:rsid w:val="00635694"/>
    <w:rsid w:val="006367D6"/>
    <w:rsid w:val="0063723E"/>
    <w:rsid w:val="00637312"/>
    <w:rsid w:val="00641514"/>
    <w:rsid w:val="00641931"/>
    <w:rsid w:val="0064234F"/>
    <w:rsid w:val="00642E56"/>
    <w:rsid w:val="00644796"/>
    <w:rsid w:val="00645BED"/>
    <w:rsid w:val="00646810"/>
    <w:rsid w:val="00646DD1"/>
    <w:rsid w:val="0065077D"/>
    <w:rsid w:val="00652269"/>
    <w:rsid w:val="006534B5"/>
    <w:rsid w:val="00655597"/>
    <w:rsid w:val="00657DAE"/>
    <w:rsid w:val="00657EBB"/>
    <w:rsid w:val="00662311"/>
    <w:rsid w:val="0066259E"/>
    <w:rsid w:val="00662BDC"/>
    <w:rsid w:val="0066435E"/>
    <w:rsid w:val="0066600B"/>
    <w:rsid w:val="006708D4"/>
    <w:rsid w:val="00671B34"/>
    <w:rsid w:val="006720EF"/>
    <w:rsid w:val="006748DB"/>
    <w:rsid w:val="00675646"/>
    <w:rsid w:val="00676080"/>
    <w:rsid w:val="00676989"/>
    <w:rsid w:val="00677940"/>
    <w:rsid w:val="00680D82"/>
    <w:rsid w:val="00681695"/>
    <w:rsid w:val="0068266C"/>
    <w:rsid w:val="006828E3"/>
    <w:rsid w:val="006835AF"/>
    <w:rsid w:val="0068394E"/>
    <w:rsid w:val="00684402"/>
    <w:rsid w:val="00685018"/>
    <w:rsid w:val="0068562C"/>
    <w:rsid w:val="00685EED"/>
    <w:rsid w:val="00686670"/>
    <w:rsid w:val="006872B3"/>
    <w:rsid w:val="0069129C"/>
    <w:rsid w:val="0069152D"/>
    <w:rsid w:val="0069159B"/>
    <w:rsid w:val="00692516"/>
    <w:rsid w:val="006948BD"/>
    <w:rsid w:val="006949AD"/>
    <w:rsid w:val="00695494"/>
    <w:rsid w:val="00695ADF"/>
    <w:rsid w:val="006965BB"/>
    <w:rsid w:val="0069693E"/>
    <w:rsid w:val="00697463"/>
    <w:rsid w:val="006A2686"/>
    <w:rsid w:val="006A30E7"/>
    <w:rsid w:val="006A3777"/>
    <w:rsid w:val="006A4F58"/>
    <w:rsid w:val="006B0168"/>
    <w:rsid w:val="006B12F9"/>
    <w:rsid w:val="006B1484"/>
    <w:rsid w:val="006B2E38"/>
    <w:rsid w:val="006B33E3"/>
    <w:rsid w:val="006B534E"/>
    <w:rsid w:val="006B5990"/>
    <w:rsid w:val="006B6ECA"/>
    <w:rsid w:val="006C0783"/>
    <w:rsid w:val="006C0CB7"/>
    <w:rsid w:val="006C0F25"/>
    <w:rsid w:val="006C21B6"/>
    <w:rsid w:val="006C40EB"/>
    <w:rsid w:val="006C4F8D"/>
    <w:rsid w:val="006C51DC"/>
    <w:rsid w:val="006C5D10"/>
    <w:rsid w:val="006C5D8E"/>
    <w:rsid w:val="006D1095"/>
    <w:rsid w:val="006D15E3"/>
    <w:rsid w:val="006D253A"/>
    <w:rsid w:val="006D2EF3"/>
    <w:rsid w:val="006D705E"/>
    <w:rsid w:val="006D7B83"/>
    <w:rsid w:val="006E1734"/>
    <w:rsid w:val="006E2199"/>
    <w:rsid w:val="006E2202"/>
    <w:rsid w:val="006E43A0"/>
    <w:rsid w:val="006E49EE"/>
    <w:rsid w:val="006E54B6"/>
    <w:rsid w:val="006E5843"/>
    <w:rsid w:val="006E6032"/>
    <w:rsid w:val="006E7340"/>
    <w:rsid w:val="006F0F2E"/>
    <w:rsid w:val="006F15C9"/>
    <w:rsid w:val="006F18BF"/>
    <w:rsid w:val="006F1E42"/>
    <w:rsid w:val="006F20FE"/>
    <w:rsid w:val="006F34AC"/>
    <w:rsid w:val="006F4055"/>
    <w:rsid w:val="006F63AD"/>
    <w:rsid w:val="006F65ED"/>
    <w:rsid w:val="006F684C"/>
    <w:rsid w:val="006F6D72"/>
    <w:rsid w:val="007005D3"/>
    <w:rsid w:val="00700DDA"/>
    <w:rsid w:val="00701330"/>
    <w:rsid w:val="00701647"/>
    <w:rsid w:val="00702094"/>
    <w:rsid w:val="007022EC"/>
    <w:rsid w:val="0070298F"/>
    <w:rsid w:val="00703161"/>
    <w:rsid w:val="007046E4"/>
    <w:rsid w:val="00704B11"/>
    <w:rsid w:val="00704E12"/>
    <w:rsid w:val="0070574C"/>
    <w:rsid w:val="0070611D"/>
    <w:rsid w:val="00706595"/>
    <w:rsid w:val="007065D6"/>
    <w:rsid w:val="00707EF0"/>
    <w:rsid w:val="00707F41"/>
    <w:rsid w:val="00710A72"/>
    <w:rsid w:val="00711FEA"/>
    <w:rsid w:val="00712524"/>
    <w:rsid w:val="00712567"/>
    <w:rsid w:val="00712EB6"/>
    <w:rsid w:val="00713421"/>
    <w:rsid w:val="00713B03"/>
    <w:rsid w:val="00713B06"/>
    <w:rsid w:val="007154F6"/>
    <w:rsid w:val="007162D4"/>
    <w:rsid w:val="007175E3"/>
    <w:rsid w:val="007179F9"/>
    <w:rsid w:val="00717F5D"/>
    <w:rsid w:val="007209A0"/>
    <w:rsid w:val="00720D4E"/>
    <w:rsid w:val="00720E20"/>
    <w:rsid w:val="00723E30"/>
    <w:rsid w:val="007258EA"/>
    <w:rsid w:val="0072596A"/>
    <w:rsid w:val="00725FEB"/>
    <w:rsid w:val="00732062"/>
    <w:rsid w:val="007366EA"/>
    <w:rsid w:val="00736741"/>
    <w:rsid w:val="00737391"/>
    <w:rsid w:val="00737D51"/>
    <w:rsid w:val="00740588"/>
    <w:rsid w:val="007420EC"/>
    <w:rsid w:val="00742A07"/>
    <w:rsid w:val="00743123"/>
    <w:rsid w:val="00743213"/>
    <w:rsid w:val="007436B7"/>
    <w:rsid w:val="00745393"/>
    <w:rsid w:val="00745684"/>
    <w:rsid w:val="00745F18"/>
    <w:rsid w:val="00747446"/>
    <w:rsid w:val="00747E78"/>
    <w:rsid w:val="007504BE"/>
    <w:rsid w:val="00751109"/>
    <w:rsid w:val="00751B2C"/>
    <w:rsid w:val="00752470"/>
    <w:rsid w:val="00752A30"/>
    <w:rsid w:val="007536FE"/>
    <w:rsid w:val="00753F17"/>
    <w:rsid w:val="00754FEC"/>
    <w:rsid w:val="00756021"/>
    <w:rsid w:val="00756B79"/>
    <w:rsid w:val="00760183"/>
    <w:rsid w:val="007617D9"/>
    <w:rsid w:val="00762DE2"/>
    <w:rsid w:val="00762FD5"/>
    <w:rsid w:val="00763FE8"/>
    <w:rsid w:val="0076477E"/>
    <w:rsid w:val="00764A72"/>
    <w:rsid w:val="00765DF4"/>
    <w:rsid w:val="00767898"/>
    <w:rsid w:val="007719D2"/>
    <w:rsid w:val="00772381"/>
    <w:rsid w:val="007727B4"/>
    <w:rsid w:val="00774961"/>
    <w:rsid w:val="007753CD"/>
    <w:rsid w:val="00777F7F"/>
    <w:rsid w:val="00780386"/>
    <w:rsid w:val="007809B2"/>
    <w:rsid w:val="00781194"/>
    <w:rsid w:val="007816E5"/>
    <w:rsid w:val="00781D88"/>
    <w:rsid w:val="0078299C"/>
    <w:rsid w:val="00782C5F"/>
    <w:rsid w:val="00786411"/>
    <w:rsid w:val="0078734D"/>
    <w:rsid w:val="007873B4"/>
    <w:rsid w:val="0079096C"/>
    <w:rsid w:val="007920DE"/>
    <w:rsid w:val="0079226D"/>
    <w:rsid w:val="0079392B"/>
    <w:rsid w:val="00794AFD"/>
    <w:rsid w:val="007959B2"/>
    <w:rsid w:val="00797328"/>
    <w:rsid w:val="00797E34"/>
    <w:rsid w:val="007A0310"/>
    <w:rsid w:val="007A1036"/>
    <w:rsid w:val="007A216F"/>
    <w:rsid w:val="007A27A1"/>
    <w:rsid w:val="007A2FB8"/>
    <w:rsid w:val="007A4CBF"/>
    <w:rsid w:val="007A4E26"/>
    <w:rsid w:val="007A5879"/>
    <w:rsid w:val="007A6523"/>
    <w:rsid w:val="007A6554"/>
    <w:rsid w:val="007A7167"/>
    <w:rsid w:val="007A7428"/>
    <w:rsid w:val="007A7B28"/>
    <w:rsid w:val="007B1B58"/>
    <w:rsid w:val="007B226A"/>
    <w:rsid w:val="007B442D"/>
    <w:rsid w:val="007B5140"/>
    <w:rsid w:val="007B5E9F"/>
    <w:rsid w:val="007C004B"/>
    <w:rsid w:val="007C0345"/>
    <w:rsid w:val="007C24DB"/>
    <w:rsid w:val="007C2727"/>
    <w:rsid w:val="007C34A4"/>
    <w:rsid w:val="007C357B"/>
    <w:rsid w:val="007C3EDB"/>
    <w:rsid w:val="007C6843"/>
    <w:rsid w:val="007C6BE1"/>
    <w:rsid w:val="007C71C9"/>
    <w:rsid w:val="007C7D8D"/>
    <w:rsid w:val="007C7F50"/>
    <w:rsid w:val="007D0201"/>
    <w:rsid w:val="007D0261"/>
    <w:rsid w:val="007D036D"/>
    <w:rsid w:val="007D0631"/>
    <w:rsid w:val="007D0DB8"/>
    <w:rsid w:val="007D1036"/>
    <w:rsid w:val="007D1802"/>
    <w:rsid w:val="007D1DD8"/>
    <w:rsid w:val="007D2AA4"/>
    <w:rsid w:val="007D2F36"/>
    <w:rsid w:val="007D3862"/>
    <w:rsid w:val="007D3F24"/>
    <w:rsid w:val="007D4D1D"/>
    <w:rsid w:val="007D589C"/>
    <w:rsid w:val="007D5C73"/>
    <w:rsid w:val="007D759A"/>
    <w:rsid w:val="007D781D"/>
    <w:rsid w:val="007E3286"/>
    <w:rsid w:val="007E3BF4"/>
    <w:rsid w:val="007E4D9E"/>
    <w:rsid w:val="007E6E02"/>
    <w:rsid w:val="007E7ADA"/>
    <w:rsid w:val="007E7D54"/>
    <w:rsid w:val="007F05F4"/>
    <w:rsid w:val="007F28F7"/>
    <w:rsid w:val="007F2B84"/>
    <w:rsid w:val="007F5866"/>
    <w:rsid w:val="008001BE"/>
    <w:rsid w:val="00800DFB"/>
    <w:rsid w:val="008014E8"/>
    <w:rsid w:val="00801D24"/>
    <w:rsid w:val="00802AA0"/>
    <w:rsid w:val="00803675"/>
    <w:rsid w:val="008068E6"/>
    <w:rsid w:val="00810476"/>
    <w:rsid w:val="0081100C"/>
    <w:rsid w:val="00811B99"/>
    <w:rsid w:val="00813ABC"/>
    <w:rsid w:val="0081597E"/>
    <w:rsid w:val="008160F2"/>
    <w:rsid w:val="00820078"/>
    <w:rsid w:val="00820696"/>
    <w:rsid w:val="008210E2"/>
    <w:rsid w:val="0082217C"/>
    <w:rsid w:val="008229CF"/>
    <w:rsid w:val="00825977"/>
    <w:rsid w:val="00825A03"/>
    <w:rsid w:val="00826360"/>
    <w:rsid w:val="00826AC6"/>
    <w:rsid w:val="008273BE"/>
    <w:rsid w:val="00827451"/>
    <w:rsid w:val="0083230F"/>
    <w:rsid w:val="008342DE"/>
    <w:rsid w:val="0083494C"/>
    <w:rsid w:val="00834F93"/>
    <w:rsid w:val="008355C3"/>
    <w:rsid w:val="008379AC"/>
    <w:rsid w:val="0084082E"/>
    <w:rsid w:val="0084152F"/>
    <w:rsid w:val="0084161C"/>
    <w:rsid w:val="00841BE5"/>
    <w:rsid w:val="008427C2"/>
    <w:rsid w:val="00843017"/>
    <w:rsid w:val="0084332F"/>
    <w:rsid w:val="00843C25"/>
    <w:rsid w:val="00844BA0"/>
    <w:rsid w:val="00845C18"/>
    <w:rsid w:val="00846078"/>
    <w:rsid w:val="00846221"/>
    <w:rsid w:val="008553BC"/>
    <w:rsid w:val="008557F3"/>
    <w:rsid w:val="00856DA1"/>
    <w:rsid w:val="00860283"/>
    <w:rsid w:val="00860BE0"/>
    <w:rsid w:val="00861999"/>
    <w:rsid w:val="00862A1B"/>
    <w:rsid w:val="008637F1"/>
    <w:rsid w:val="00866C19"/>
    <w:rsid w:val="00867927"/>
    <w:rsid w:val="00870161"/>
    <w:rsid w:val="00872283"/>
    <w:rsid w:val="008722DC"/>
    <w:rsid w:val="008724E0"/>
    <w:rsid w:val="00873165"/>
    <w:rsid w:val="0087589E"/>
    <w:rsid w:val="00875DEB"/>
    <w:rsid w:val="00876A9F"/>
    <w:rsid w:val="00877021"/>
    <w:rsid w:val="0087732F"/>
    <w:rsid w:val="0088077B"/>
    <w:rsid w:val="00880A22"/>
    <w:rsid w:val="00881069"/>
    <w:rsid w:val="00881197"/>
    <w:rsid w:val="00882BA6"/>
    <w:rsid w:val="008869D1"/>
    <w:rsid w:val="00890A1A"/>
    <w:rsid w:val="00890C4F"/>
    <w:rsid w:val="0089384D"/>
    <w:rsid w:val="008941B1"/>
    <w:rsid w:val="008943DA"/>
    <w:rsid w:val="008946F3"/>
    <w:rsid w:val="00894B90"/>
    <w:rsid w:val="00896005"/>
    <w:rsid w:val="00897352"/>
    <w:rsid w:val="008974F1"/>
    <w:rsid w:val="00897D07"/>
    <w:rsid w:val="00897D67"/>
    <w:rsid w:val="008A0E8F"/>
    <w:rsid w:val="008A1820"/>
    <w:rsid w:val="008A34F0"/>
    <w:rsid w:val="008A3C8E"/>
    <w:rsid w:val="008A6924"/>
    <w:rsid w:val="008A699B"/>
    <w:rsid w:val="008B1AFD"/>
    <w:rsid w:val="008B2A15"/>
    <w:rsid w:val="008B3BBF"/>
    <w:rsid w:val="008B57F2"/>
    <w:rsid w:val="008C22A9"/>
    <w:rsid w:val="008C2A4C"/>
    <w:rsid w:val="008C37C5"/>
    <w:rsid w:val="008C5386"/>
    <w:rsid w:val="008C539B"/>
    <w:rsid w:val="008C6229"/>
    <w:rsid w:val="008C68DA"/>
    <w:rsid w:val="008C753F"/>
    <w:rsid w:val="008D00A3"/>
    <w:rsid w:val="008D2379"/>
    <w:rsid w:val="008D306E"/>
    <w:rsid w:val="008D6213"/>
    <w:rsid w:val="008D63C5"/>
    <w:rsid w:val="008D6D2C"/>
    <w:rsid w:val="008D6DC9"/>
    <w:rsid w:val="008E0630"/>
    <w:rsid w:val="008E0796"/>
    <w:rsid w:val="008E1E04"/>
    <w:rsid w:val="008E5D99"/>
    <w:rsid w:val="008E6D67"/>
    <w:rsid w:val="008F0099"/>
    <w:rsid w:val="008F09F8"/>
    <w:rsid w:val="008F10D8"/>
    <w:rsid w:val="008F1922"/>
    <w:rsid w:val="008F1ED6"/>
    <w:rsid w:val="008F256D"/>
    <w:rsid w:val="008F3B7E"/>
    <w:rsid w:val="008F3EAD"/>
    <w:rsid w:val="008F62CC"/>
    <w:rsid w:val="008F694B"/>
    <w:rsid w:val="00900105"/>
    <w:rsid w:val="00900BC0"/>
    <w:rsid w:val="00901465"/>
    <w:rsid w:val="00902322"/>
    <w:rsid w:val="00903C24"/>
    <w:rsid w:val="00904187"/>
    <w:rsid w:val="00904302"/>
    <w:rsid w:val="00904439"/>
    <w:rsid w:val="00904474"/>
    <w:rsid w:val="0090463B"/>
    <w:rsid w:val="00904E3A"/>
    <w:rsid w:val="00906DFE"/>
    <w:rsid w:val="00907126"/>
    <w:rsid w:val="00910812"/>
    <w:rsid w:val="00911F79"/>
    <w:rsid w:val="0091409E"/>
    <w:rsid w:val="00914DBE"/>
    <w:rsid w:val="009170EE"/>
    <w:rsid w:val="00917C34"/>
    <w:rsid w:val="0092416C"/>
    <w:rsid w:val="00924D81"/>
    <w:rsid w:val="009256AB"/>
    <w:rsid w:val="00927251"/>
    <w:rsid w:val="00927FCF"/>
    <w:rsid w:val="00931E59"/>
    <w:rsid w:val="00933019"/>
    <w:rsid w:val="009343F2"/>
    <w:rsid w:val="00934A32"/>
    <w:rsid w:val="00935018"/>
    <w:rsid w:val="00941212"/>
    <w:rsid w:val="00941FB8"/>
    <w:rsid w:val="00942A64"/>
    <w:rsid w:val="00943C4F"/>
    <w:rsid w:val="00943C5E"/>
    <w:rsid w:val="0094405C"/>
    <w:rsid w:val="00945CF3"/>
    <w:rsid w:val="00946020"/>
    <w:rsid w:val="00947580"/>
    <w:rsid w:val="00950D67"/>
    <w:rsid w:val="00950FA8"/>
    <w:rsid w:val="009534C3"/>
    <w:rsid w:val="00954DB1"/>
    <w:rsid w:val="00955667"/>
    <w:rsid w:val="009568BD"/>
    <w:rsid w:val="00957971"/>
    <w:rsid w:val="00957C29"/>
    <w:rsid w:val="00957CF7"/>
    <w:rsid w:val="00961180"/>
    <w:rsid w:val="00961B9B"/>
    <w:rsid w:val="009621CB"/>
    <w:rsid w:val="00963066"/>
    <w:rsid w:val="00963AB5"/>
    <w:rsid w:val="009645CA"/>
    <w:rsid w:val="00964B62"/>
    <w:rsid w:val="00965B15"/>
    <w:rsid w:val="00967A82"/>
    <w:rsid w:val="00967AC0"/>
    <w:rsid w:val="00970783"/>
    <w:rsid w:val="00971227"/>
    <w:rsid w:val="009713CA"/>
    <w:rsid w:val="0097179E"/>
    <w:rsid w:val="00971C9E"/>
    <w:rsid w:val="00971F0A"/>
    <w:rsid w:val="0097459B"/>
    <w:rsid w:val="009750C8"/>
    <w:rsid w:val="00975BC2"/>
    <w:rsid w:val="00976F0F"/>
    <w:rsid w:val="009810E0"/>
    <w:rsid w:val="00982CF2"/>
    <w:rsid w:val="009846B9"/>
    <w:rsid w:val="00985799"/>
    <w:rsid w:val="00985D69"/>
    <w:rsid w:val="0098642C"/>
    <w:rsid w:val="009933A0"/>
    <w:rsid w:val="009940AC"/>
    <w:rsid w:val="00994B13"/>
    <w:rsid w:val="00994C6A"/>
    <w:rsid w:val="00995390"/>
    <w:rsid w:val="00995422"/>
    <w:rsid w:val="009964C4"/>
    <w:rsid w:val="009970B7"/>
    <w:rsid w:val="009975CA"/>
    <w:rsid w:val="00997F3C"/>
    <w:rsid w:val="009A065E"/>
    <w:rsid w:val="009A1361"/>
    <w:rsid w:val="009A1815"/>
    <w:rsid w:val="009A31E9"/>
    <w:rsid w:val="009A3890"/>
    <w:rsid w:val="009A3A15"/>
    <w:rsid w:val="009A3CCE"/>
    <w:rsid w:val="009A41AD"/>
    <w:rsid w:val="009A5A66"/>
    <w:rsid w:val="009A64DC"/>
    <w:rsid w:val="009A7844"/>
    <w:rsid w:val="009A7999"/>
    <w:rsid w:val="009B6B32"/>
    <w:rsid w:val="009B7592"/>
    <w:rsid w:val="009B7A1B"/>
    <w:rsid w:val="009C07E2"/>
    <w:rsid w:val="009C0CF1"/>
    <w:rsid w:val="009C1F4A"/>
    <w:rsid w:val="009C3D71"/>
    <w:rsid w:val="009C4F08"/>
    <w:rsid w:val="009C53E5"/>
    <w:rsid w:val="009C55AA"/>
    <w:rsid w:val="009C70CA"/>
    <w:rsid w:val="009C7663"/>
    <w:rsid w:val="009C7ACA"/>
    <w:rsid w:val="009D1238"/>
    <w:rsid w:val="009D1C7B"/>
    <w:rsid w:val="009D3223"/>
    <w:rsid w:val="009D4169"/>
    <w:rsid w:val="009D42BC"/>
    <w:rsid w:val="009D551D"/>
    <w:rsid w:val="009D66A7"/>
    <w:rsid w:val="009D67D6"/>
    <w:rsid w:val="009D6AA0"/>
    <w:rsid w:val="009D6D26"/>
    <w:rsid w:val="009D77F9"/>
    <w:rsid w:val="009D78BF"/>
    <w:rsid w:val="009D7B9E"/>
    <w:rsid w:val="009E033E"/>
    <w:rsid w:val="009E2055"/>
    <w:rsid w:val="009E2071"/>
    <w:rsid w:val="009E429B"/>
    <w:rsid w:val="009E490E"/>
    <w:rsid w:val="009E4996"/>
    <w:rsid w:val="009E7A0F"/>
    <w:rsid w:val="009E7A54"/>
    <w:rsid w:val="009F18EB"/>
    <w:rsid w:val="009F4220"/>
    <w:rsid w:val="009F4B48"/>
    <w:rsid w:val="009F4C87"/>
    <w:rsid w:val="009F6A42"/>
    <w:rsid w:val="009F6F08"/>
    <w:rsid w:val="009F75AD"/>
    <w:rsid w:val="009F7A0B"/>
    <w:rsid w:val="00A007E9"/>
    <w:rsid w:val="00A02332"/>
    <w:rsid w:val="00A05375"/>
    <w:rsid w:val="00A05616"/>
    <w:rsid w:val="00A06D19"/>
    <w:rsid w:val="00A101D3"/>
    <w:rsid w:val="00A101FE"/>
    <w:rsid w:val="00A10914"/>
    <w:rsid w:val="00A10C0D"/>
    <w:rsid w:val="00A124DF"/>
    <w:rsid w:val="00A15E5A"/>
    <w:rsid w:val="00A20C42"/>
    <w:rsid w:val="00A2155D"/>
    <w:rsid w:val="00A216B3"/>
    <w:rsid w:val="00A21C14"/>
    <w:rsid w:val="00A2209F"/>
    <w:rsid w:val="00A220AF"/>
    <w:rsid w:val="00A23DD1"/>
    <w:rsid w:val="00A23F8F"/>
    <w:rsid w:val="00A25552"/>
    <w:rsid w:val="00A25CA3"/>
    <w:rsid w:val="00A26355"/>
    <w:rsid w:val="00A30CFC"/>
    <w:rsid w:val="00A317E5"/>
    <w:rsid w:val="00A31962"/>
    <w:rsid w:val="00A33D45"/>
    <w:rsid w:val="00A33EC4"/>
    <w:rsid w:val="00A3536A"/>
    <w:rsid w:val="00A37A06"/>
    <w:rsid w:val="00A37A6D"/>
    <w:rsid w:val="00A37B41"/>
    <w:rsid w:val="00A37B81"/>
    <w:rsid w:val="00A413A6"/>
    <w:rsid w:val="00A42317"/>
    <w:rsid w:val="00A4487C"/>
    <w:rsid w:val="00A451ED"/>
    <w:rsid w:val="00A4564F"/>
    <w:rsid w:val="00A462D2"/>
    <w:rsid w:val="00A475C6"/>
    <w:rsid w:val="00A47E12"/>
    <w:rsid w:val="00A5012F"/>
    <w:rsid w:val="00A5055B"/>
    <w:rsid w:val="00A51051"/>
    <w:rsid w:val="00A530EA"/>
    <w:rsid w:val="00A55A94"/>
    <w:rsid w:val="00A55C46"/>
    <w:rsid w:val="00A56535"/>
    <w:rsid w:val="00A568F3"/>
    <w:rsid w:val="00A56AD9"/>
    <w:rsid w:val="00A5705A"/>
    <w:rsid w:val="00A57406"/>
    <w:rsid w:val="00A60537"/>
    <w:rsid w:val="00A60AF7"/>
    <w:rsid w:val="00A611C5"/>
    <w:rsid w:val="00A62AF9"/>
    <w:rsid w:val="00A631B2"/>
    <w:rsid w:val="00A63D4C"/>
    <w:rsid w:val="00A63FE1"/>
    <w:rsid w:val="00A643EE"/>
    <w:rsid w:val="00A64973"/>
    <w:rsid w:val="00A6527A"/>
    <w:rsid w:val="00A65439"/>
    <w:rsid w:val="00A65D32"/>
    <w:rsid w:val="00A65EF2"/>
    <w:rsid w:val="00A65FC7"/>
    <w:rsid w:val="00A6667D"/>
    <w:rsid w:val="00A67198"/>
    <w:rsid w:val="00A701F1"/>
    <w:rsid w:val="00A70CC7"/>
    <w:rsid w:val="00A71005"/>
    <w:rsid w:val="00A71CC5"/>
    <w:rsid w:val="00A724EC"/>
    <w:rsid w:val="00A73255"/>
    <w:rsid w:val="00A75EB0"/>
    <w:rsid w:val="00A75F31"/>
    <w:rsid w:val="00A760E8"/>
    <w:rsid w:val="00A7658C"/>
    <w:rsid w:val="00A76A4F"/>
    <w:rsid w:val="00A77279"/>
    <w:rsid w:val="00A77348"/>
    <w:rsid w:val="00A804AB"/>
    <w:rsid w:val="00A808C8"/>
    <w:rsid w:val="00A80F86"/>
    <w:rsid w:val="00A824C0"/>
    <w:rsid w:val="00A85B90"/>
    <w:rsid w:val="00A866B2"/>
    <w:rsid w:val="00A86A29"/>
    <w:rsid w:val="00A86D5F"/>
    <w:rsid w:val="00A8732D"/>
    <w:rsid w:val="00A87B52"/>
    <w:rsid w:val="00A87EE0"/>
    <w:rsid w:val="00A87FDA"/>
    <w:rsid w:val="00A90057"/>
    <w:rsid w:val="00A906A3"/>
    <w:rsid w:val="00A92013"/>
    <w:rsid w:val="00A92278"/>
    <w:rsid w:val="00A92C1A"/>
    <w:rsid w:val="00A93267"/>
    <w:rsid w:val="00A936DC"/>
    <w:rsid w:val="00A9771D"/>
    <w:rsid w:val="00AA0296"/>
    <w:rsid w:val="00AA042D"/>
    <w:rsid w:val="00AA0921"/>
    <w:rsid w:val="00AA1FCB"/>
    <w:rsid w:val="00AA2874"/>
    <w:rsid w:val="00AA2F4A"/>
    <w:rsid w:val="00AA2F5F"/>
    <w:rsid w:val="00AA5D07"/>
    <w:rsid w:val="00AA6611"/>
    <w:rsid w:val="00AA6778"/>
    <w:rsid w:val="00AA6A09"/>
    <w:rsid w:val="00AA6B05"/>
    <w:rsid w:val="00AA6FC4"/>
    <w:rsid w:val="00AB071F"/>
    <w:rsid w:val="00AB0F6E"/>
    <w:rsid w:val="00AB2E14"/>
    <w:rsid w:val="00AB4F29"/>
    <w:rsid w:val="00AB5BF7"/>
    <w:rsid w:val="00AB7CF3"/>
    <w:rsid w:val="00AC0549"/>
    <w:rsid w:val="00AC0E76"/>
    <w:rsid w:val="00AC1A41"/>
    <w:rsid w:val="00AC1DCB"/>
    <w:rsid w:val="00AC1EE4"/>
    <w:rsid w:val="00AC2D3A"/>
    <w:rsid w:val="00AC2D46"/>
    <w:rsid w:val="00AC3595"/>
    <w:rsid w:val="00AC5101"/>
    <w:rsid w:val="00AC61D7"/>
    <w:rsid w:val="00AC68E1"/>
    <w:rsid w:val="00AC78C3"/>
    <w:rsid w:val="00AC790E"/>
    <w:rsid w:val="00AC7E79"/>
    <w:rsid w:val="00AD0708"/>
    <w:rsid w:val="00AD15F8"/>
    <w:rsid w:val="00AD1C08"/>
    <w:rsid w:val="00AD3DCC"/>
    <w:rsid w:val="00AD4F69"/>
    <w:rsid w:val="00AD500A"/>
    <w:rsid w:val="00AD5468"/>
    <w:rsid w:val="00AD563A"/>
    <w:rsid w:val="00AD6B2D"/>
    <w:rsid w:val="00AD6F72"/>
    <w:rsid w:val="00AD708D"/>
    <w:rsid w:val="00AD7A5B"/>
    <w:rsid w:val="00AD7F22"/>
    <w:rsid w:val="00AE3162"/>
    <w:rsid w:val="00AE3F5C"/>
    <w:rsid w:val="00AE431B"/>
    <w:rsid w:val="00AE46EC"/>
    <w:rsid w:val="00AE4C58"/>
    <w:rsid w:val="00AE5F6F"/>
    <w:rsid w:val="00AE612F"/>
    <w:rsid w:val="00AE7FC6"/>
    <w:rsid w:val="00AF00ED"/>
    <w:rsid w:val="00AF0554"/>
    <w:rsid w:val="00AF0EFD"/>
    <w:rsid w:val="00AF12EE"/>
    <w:rsid w:val="00AF1440"/>
    <w:rsid w:val="00AF1586"/>
    <w:rsid w:val="00AF19A4"/>
    <w:rsid w:val="00AF1AE8"/>
    <w:rsid w:val="00AF1EB7"/>
    <w:rsid w:val="00AF1EDC"/>
    <w:rsid w:val="00AF26BD"/>
    <w:rsid w:val="00AF3819"/>
    <w:rsid w:val="00AF54D2"/>
    <w:rsid w:val="00AF6254"/>
    <w:rsid w:val="00B002FF"/>
    <w:rsid w:val="00B00533"/>
    <w:rsid w:val="00B00977"/>
    <w:rsid w:val="00B014E4"/>
    <w:rsid w:val="00B02744"/>
    <w:rsid w:val="00B0486B"/>
    <w:rsid w:val="00B10C13"/>
    <w:rsid w:val="00B10E5F"/>
    <w:rsid w:val="00B11AF6"/>
    <w:rsid w:val="00B11C9D"/>
    <w:rsid w:val="00B12ECD"/>
    <w:rsid w:val="00B13229"/>
    <w:rsid w:val="00B13AE2"/>
    <w:rsid w:val="00B15D04"/>
    <w:rsid w:val="00B162ED"/>
    <w:rsid w:val="00B17E14"/>
    <w:rsid w:val="00B2172B"/>
    <w:rsid w:val="00B21E5F"/>
    <w:rsid w:val="00B22F14"/>
    <w:rsid w:val="00B231BB"/>
    <w:rsid w:val="00B23419"/>
    <w:rsid w:val="00B234BA"/>
    <w:rsid w:val="00B235C2"/>
    <w:rsid w:val="00B242FF"/>
    <w:rsid w:val="00B25BB4"/>
    <w:rsid w:val="00B27C9A"/>
    <w:rsid w:val="00B303C6"/>
    <w:rsid w:val="00B30D35"/>
    <w:rsid w:val="00B3159E"/>
    <w:rsid w:val="00B32513"/>
    <w:rsid w:val="00B325C0"/>
    <w:rsid w:val="00B32845"/>
    <w:rsid w:val="00B32FB0"/>
    <w:rsid w:val="00B331B5"/>
    <w:rsid w:val="00B360B1"/>
    <w:rsid w:val="00B401FA"/>
    <w:rsid w:val="00B40657"/>
    <w:rsid w:val="00B40BD9"/>
    <w:rsid w:val="00B40CFC"/>
    <w:rsid w:val="00B41B12"/>
    <w:rsid w:val="00B41C9C"/>
    <w:rsid w:val="00B434C7"/>
    <w:rsid w:val="00B47CF7"/>
    <w:rsid w:val="00B510B8"/>
    <w:rsid w:val="00B53C3E"/>
    <w:rsid w:val="00B53CA3"/>
    <w:rsid w:val="00B5472F"/>
    <w:rsid w:val="00B57CEC"/>
    <w:rsid w:val="00B60673"/>
    <w:rsid w:val="00B6074B"/>
    <w:rsid w:val="00B614BC"/>
    <w:rsid w:val="00B616BE"/>
    <w:rsid w:val="00B62121"/>
    <w:rsid w:val="00B626D8"/>
    <w:rsid w:val="00B635F6"/>
    <w:rsid w:val="00B6419A"/>
    <w:rsid w:val="00B64EEB"/>
    <w:rsid w:val="00B65C0C"/>
    <w:rsid w:val="00B66006"/>
    <w:rsid w:val="00B675EF"/>
    <w:rsid w:val="00B7201F"/>
    <w:rsid w:val="00B72539"/>
    <w:rsid w:val="00B730C5"/>
    <w:rsid w:val="00B7311D"/>
    <w:rsid w:val="00B7381D"/>
    <w:rsid w:val="00B744B9"/>
    <w:rsid w:val="00B74C50"/>
    <w:rsid w:val="00B76475"/>
    <w:rsid w:val="00B80620"/>
    <w:rsid w:val="00B8173F"/>
    <w:rsid w:val="00B824BF"/>
    <w:rsid w:val="00B838BE"/>
    <w:rsid w:val="00B83BED"/>
    <w:rsid w:val="00B84409"/>
    <w:rsid w:val="00B84E01"/>
    <w:rsid w:val="00B90A0E"/>
    <w:rsid w:val="00B90E36"/>
    <w:rsid w:val="00B91958"/>
    <w:rsid w:val="00B92A5E"/>
    <w:rsid w:val="00B94795"/>
    <w:rsid w:val="00B94D25"/>
    <w:rsid w:val="00B973C3"/>
    <w:rsid w:val="00BA025F"/>
    <w:rsid w:val="00BA0648"/>
    <w:rsid w:val="00BA0B9C"/>
    <w:rsid w:val="00BA1339"/>
    <w:rsid w:val="00BA1FAB"/>
    <w:rsid w:val="00BA377A"/>
    <w:rsid w:val="00BA3AB7"/>
    <w:rsid w:val="00BA3D3B"/>
    <w:rsid w:val="00BA3E7A"/>
    <w:rsid w:val="00BA43A7"/>
    <w:rsid w:val="00BA6160"/>
    <w:rsid w:val="00BA74AB"/>
    <w:rsid w:val="00BA765C"/>
    <w:rsid w:val="00BB1A77"/>
    <w:rsid w:val="00BB25A4"/>
    <w:rsid w:val="00BB2F1D"/>
    <w:rsid w:val="00BB51B2"/>
    <w:rsid w:val="00BB52C1"/>
    <w:rsid w:val="00BB53BE"/>
    <w:rsid w:val="00BB674F"/>
    <w:rsid w:val="00BC03AB"/>
    <w:rsid w:val="00BC3D75"/>
    <w:rsid w:val="00BC42EF"/>
    <w:rsid w:val="00BC47C1"/>
    <w:rsid w:val="00BC7F46"/>
    <w:rsid w:val="00BD019A"/>
    <w:rsid w:val="00BD069E"/>
    <w:rsid w:val="00BD0A86"/>
    <w:rsid w:val="00BD2252"/>
    <w:rsid w:val="00BD4C8D"/>
    <w:rsid w:val="00BD681E"/>
    <w:rsid w:val="00BE0F23"/>
    <w:rsid w:val="00BE127F"/>
    <w:rsid w:val="00BE16A7"/>
    <w:rsid w:val="00BE2544"/>
    <w:rsid w:val="00BE2B0D"/>
    <w:rsid w:val="00BE5DAB"/>
    <w:rsid w:val="00BE6488"/>
    <w:rsid w:val="00BE685C"/>
    <w:rsid w:val="00BE6CB9"/>
    <w:rsid w:val="00BF1A38"/>
    <w:rsid w:val="00BF2ECD"/>
    <w:rsid w:val="00BF34AE"/>
    <w:rsid w:val="00BF4444"/>
    <w:rsid w:val="00BF4F5B"/>
    <w:rsid w:val="00BF5120"/>
    <w:rsid w:val="00BF5F7E"/>
    <w:rsid w:val="00BF6CAD"/>
    <w:rsid w:val="00BF6E0A"/>
    <w:rsid w:val="00BF7300"/>
    <w:rsid w:val="00BF7675"/>
    <w:rsid w:val="00C00152"/>
    <w:rsid w:val="00C011E1"/>
    <w:rsid w:val="00C022C8"/>
    <w:rsid w:val="00C02CD5"/>
    <w:rsid w:val="00C036E3"/>
    <w:rsid w:val="00C0459B"/>
    <w:rsid w:val="00C0590E"/>
    <w:rsid w:val="00C06C7C"/>
    <w:rsid w:val="00C06F48"/>
    <w:rsid w:val="00C07D70"/>
    <w:rsid w:val="00C104C4"/>
    <w:rsid w:val="00C11F47"/>
    <w:rsid w:val="00C11FF6"/>
    <w:rsid w:val="00C1289E"/>
    <w:rsid w:val="00C15114"/>
    <w:rsid w:val="00C1514E"/>
    <w:rsid w:val="00C1596F"/>
    <w:rsid w:val="00C20082"/>
    <w:rsid w:val="00C20CB8"/>
    <w:rsid w:val="00C211AE"/>
    <w:rsid w:val="00C22D5F"/>
    <w:rsid w:val="00C244FF"/>
    <w:rsid w:val="00C25AEE"/>
    <w:rsid w:val="00C26711"/>
    <w:rsid w:val="00C2709A"/>
    <w:rsid w:val="00C273F4"/>
    <w:rsid w:val="00C276B5"/>
    <w:rsid w:val="00C30881"/>
    <w:rsid w:val="00C3147D"/>
    <w:rsid w:val="00C32798"/>
    <w:rsid w:val="00C351F4"/>
    <w:rsid w:val="00C35ABE"/>
    <w:rsid w:val="00C363BA"/>
    <w:rsid w:val="00C36E61"/>
    <w:rsid w:val="00C37B1B"/>
    <w:rsid w:val="00C41A4C"/>
    <w:rsid w:val="00C41E0B"/>
    <w:rsid w:val="00C41F91"/>
    <w:rsid w:val="00C42635"/>
    <w:rsid w:val="00C43A0B"/>
    <w:rsid w:val="00C43B3D"/>
    <w:rsid w:val="00C43E2B"/>
    <w:rsid w:val="00C440CA"/>
    <w:rsid w:val="00C442A0"/>
    <w:rsid w:val="00C447EF"/>
    <w:rsid w:val="00C44DCC"/>
    <w:rsid w:val="00C45841"/>
    <w:rsid w:val="00C4651A"/>
    <w:rsid w:val="00C47CD9"/>
    <w:rsid w:val="00C47E6E"/>
    <w:rsid w:val="00C5307A"/>
    <w:rsid w:val="00C53B92"/>
    <w:rsid w:val="00C555AE"/>
    <w:rsid w:val="00C55C5D"/>
    <w:rsid w:val="00C561BA"/>
    <w:rsid w:val="00C5782F"/>
    <w:rsid w:val="00C60EFA"/>
    <w:rsid w:val="00C62206"/>
    <w:rsid w:val="00C6313B"/>
    <w:rsid w:val="00C65778"/>
    <w:rsid w:val="00C66379"/>
    <w:rsid w:val="00C704A5"/>
    <w:rsid w:val="00C70669"/>
    <w:rsid w:val="00C7095F"/>
    <w:rsid w:val="00C70F82"/>
    <w:rsid w:val="00C71A74"/>
    <w:rsid w:val="00C71F2A"/>
    <w:rsid w:val="00C728D8"/>
    <w:rsid w:val="00C72AB6"/>
    <w:rsid w:val="00C738C1"/>
    <w:rsid w:val="00C74853"/>
    <w:rsid w:val="00C779BE"/>
    <w:rsid w:val="00C8047D"/>
    <w:rsid w:val="00C83646"/>
    <w:rsid w:val="00C83A40"/>
    <w:rsid w:val="00C91D6E"/>
    <w:rsid w:val="00C92345"/>
    <w:rsid w:val="00C924C3"/>
    <w:rsid w:val="00C93F5F"/>
    <w:rsid w:val="00C94B50"/>
    <w:rsid w:val="00C967D3"/>
    <w:rsid w:val="00CA0E32"/>
    <w:rsid w:val="00CA12C0"/>
    <w:rsid w:val="00CA24DB"/>
    <w:rsid w:val="00CA3209"/>
    <w:rsid w:val="00CA5B12"/>
    <w:rsid w:val="00CA683B"/>
    <w:rsid w:val="00CA7F3C"/>
    <w:rsid w:val="00CB023D"/>
    <w:rsid w:val="00CB1170"/>
    <w:rsid w:val="00CB2C9D"/>
    <w:rsid w:val="00CB2EE7"/>
    <w:rsid w:val="00CB520B"/>
    <w:rsid w:val="00CB58DC"/>
    <w:rsid w:val="00CB5B0E"/>
    <w:rsid w:val="00CB6E34"/>
    <w:rsid w:val="00CC0A62"/>
    <w:rsid w:val="00CC1386"/>
    <w:rsid w:val="00CC14FC"/>
    <w:rsid w:val="00CC2D6C"/>
    <w:rsid w:val="00CC2E41"/>
    <w:rsid w:val="00CC36CC"/>
    <w:rsid w:val="00CD11E0"/>
    <w:rsid w:val="00CD128E"/>
    <w:rsid w:val="00CD1475"/>
    <w:rsid w:val="00CD2537"/>
    <w:rsid w:val="00CD2D0C"/>
    <w:rsid w:val="00CD4285"/>
    <w:rsid w:val="00CD4E56"/>
    <w:rsid w:val="00CD5C0F"/>
    <w:rsid w:val="00CD5D5E"/>
    <w:rsid w:val="00CD5F8D"/>
    <w:rsid w:val="00CD69F4"/>
    <w:rsid w:val="00CD6B7C"/>
    <w:rsid w:val="00CE06F9"/>
    <w:rsid w:val="00CE188A"/>
    <w:rsid w:val="00CE3978"/>
    <w:rsid w:val="00CE3DD2"/>
    <w:rsid w:val="00CE5647"/>
    <w:rsid w:val="00CE6843"/>
    <w:rsid w:val="00CF4428"/>
    <w:rsid w:val="00CF7C4F"/>
    <w:rsid w:val="00D00A3D"/>
    <w:rsid w:val="00D00C54"/>
    <w:rsid w:val="00D01132"/>
    <w:rsid w:val="00D01E9C"/>
    <w:rsid w:val="00D02496"/>
    <w:rsid w:val="00D03227"/>
    <w:rsid w:val="00D03250"/>
    <w:rsid w:val="00D03805"/>
    <w:rsid w:val="00D03DD9"/>
    <w:rsid w:val="00D03EC7"/>
    <w:rsid w:val="00D0535A"/>
    <w:rsid w:val="00D05EE8"/>
    <w:rsid w:val="00D06484"/>
    <w:rsid w:val="00D064C8"/>
    <w:rsid w:val="00D06779"/>
    <w:rsid w:val="00D07195"/>
    <w:rsid w:val="00D101F4"/>
    <w:rsid w:val="00D12342"/>
    <w:rsid w:val="00D154FD"/>
    <w:rsid w:val="00D1567A"/>
    <w:rsid w:val="00D160D1"/>
    <w:rsid w:val="00D16CC5"/>
    <w:rsid w:val="00D177A3"/>
    <w:rsid w:val="00D20BA9"/>
    <w:rsid w:val="00D20CBA"/>
    <w:rsid w:val="00D21CE0"/>
    <w:rsid w:val="00D21E62"/>
    <w:rsid w:val="00D21E8A"/>
    <w:rsid w:val="00D21F12"/>
    <w:rsid w:val="00D223FC"/>
    <w:rsid w:val="00D224B2"/>
    <w:rsid w:val="00D22BEC"/>
    <w:rsid w:val="00D2403A"/>
    <w:rsid w:val="00D2456D"/>
    <w:rsid w:val="00D24B36"/>
    <w:rsid w:val="00D252B8"/>
    <w:rsid w:val="00D264CA"/>
    <w:rsid w:val="00D26676"/>
    <w:rsid w:val="00D26D9A"/>
    <w:rsid w:val="00D275D6"/>
    <w:rsid w:val="00D279C4"/>
    <w:rsid w:val="00D30132"/>
    <w:rsid w:val="00D31587"/>
    <w:rsid w:val="00D325B9"/>
    <w:rsid w:val="00D326CC"/>
    <w:rsid w:val="00D33505"/>
    <w:rsid w:val="00D35D24"/>
    <w:rsid w:val="00D364F7"/>
    <w:rsid w:val="00D376D0"/>
    <w:rsid w:val="00D40166"/>
    <w:rsid w:val="00D40DF7"/>
    <w:rsid w:val="00D41D0D"/>
    <w:rsid w:val="00D42390"/>
    <w:rsid w:val="00D42B4D"/>
    <w:rsid w:val="00D43502"/>
    <w:rsid w:val="00D44AFB"/>
    <w:rsid w:val="00D45D49"/>
    <w:rsid w:val="00D46F95"/>
    <w:rsid w:val="00D519E4"/>
    <w:rsid w:val="00D51F94"/>
    <w:rsid w:val="00D520A9"/>
    <w:rsid w:val="00D55E5B"/>
    <w:rsid w:val="00D562DF"/>
    <w:rsid w:val="00D60B73"/>
    <w:rsid w:val="00D60F67"/>
    <w:rsid w:val="00D613A5"/>
    <w:rsid w:val="00D619DC"/>
    <w:rsid w:val="00D63A1E"/>
    <w:rsid w:val="00D64244"/>
    <w:rsid w:val="00D653F6"/>
    <w:rsid w:val="00D66693"/>
    <w:rsid w:val="00D66A6A"/>
    <w:rsid w:val="00D67373"/>
    <w:rsid w:val="00D7030B"/>
    <w:rsid w:val="00D7071B"/>
    <w:rsid w:val="00D71ECF"/>
    <w:rsid w:val="00D72ABB"/>
    <w:rsid w:val="00D7311E"/>
    <w:rsid w:val="00D73213"/>
    <w:rsid w:val="00D7321F"/>
    <w:rsid w:val="00D73E5D"/>
    <w:rsid w:val="00D75288"/>
    <w:rsid w:val="00D75670"/>
    <w:rsid w:val="00D765AF"/>
    <w:rsid w:val="00D76EBC"/>
    <w:rsid w:val="00D77340"/>
    <w:rsid w:val="00D82322"/>
    <w:rsid w:val="00D82431"/>
    <w:rsid w:val="00D83A46"/>
    <w:rsid w:val="00D84481"/>
    <w:rsid w:val="00D84D87"/>
    <w:rsid w:val="00D925D3"/>
    <w:rsid w:val="00D92694"/>
    <w:rsid w:val="00D92F08"/>
    <w:rsid w:val="00D92F7D"/>
    <w:rsid w:val="00D948FA"/>
    <w:rsid w:val="00D9537F"/>
    <w:rsid w:val="00D956ED"/>
    <w:rsid w:val="00D96434"/>
    <w:rsid w:val="00D968FF"/>
    <w:rsid w:val="00DA0DFC"/>
    <w:rsid w:val="00DA11EA"/>
    <w:rsid w:val="00DA1452"/>
    <w:rsid w:val="00DA3536"/>
    <w:rsid w:val="00DA397D"/>
    <w:rsid w:val="00DA4011"/>
    <w:rsid w:val="00DA4C2B"/>
    <w:rsid w:val="00DA5A78"/>
    <w:rsid w:val="00DA5D8E"/>
    <w:rsid w:val="00DA5E2D"/>
    <w:rsid w:val="00DA71D0"/>
    <w:rsid w:val="00DA7D1B"/>
    <w:rsid w:val="00DB00DC"/>
    <w:rsid w:val="00DB0BE9"/>
    <w:rsid w:val="00DB14B9"/>
    <w:rsid w:val="00DB2F67"/>
    <w:rsid w:val="00DB3920"/>
    <w:rsid w:val="00DB4583"/>
    <w:rsid w:val="00DB4901"/>
    <w:rsid w:val="00DB56A5"/>
    <w:rsid w:val="00DC0079"/>
    <w:rsid w:val="00DC0781"/>
    <w:rsid w:val="00DC08DA"/>
    <w:rsid w:val="00DC1F73"/>
    <w:rsid w:val="00DC338E"/>
    <w:rsid w:val="00DC3824"/>
    <w:rsid w:val="00DC3999"/>
    <w:rsid w:val="00DC39A8"/>
    <w:rsid w:val="00DC44F4"/>
    <w:rsid w:val="00DC609E"/>
    <w:rsid w:val="00DC634A"/>
    <w:rsid w:val="00DD1C2B"/>
    <w:rsid w:val="00DD1EA8"/>
    <w:rsid w:val="00DD2AE4"/>
    <w:rsid w:val="00DD2E43"/>
    <w:rsid w:val="00DD40E1"/>
    <w:rsid w:val="00DD49FF"/>
    <w:rsid w:val="00DD571E"/>
    <w:rsid w:val="00DD5FB7"/>
    <w:rsid w:val="00DD7593"/>
    <w:rsid w:val="00DD7D05"/>
    <w:rsid w:val="00DE2AD5"/>
    <w:rsid w:val="00DE2D37"/>
    <w:rsid w:val="00DE417A"/>
    <w:rsid w:val="00DE52DC"/>
    <w:rsid w:val="00DE6AAD"/>
    <w:rsid w:val="00DF0B1C"/>
    <w:rsid w:val="00DF13FA"/>
    <w:rsid w:val="00DF1683"/>
    <w:rsid w:val="00DF2098"/>
    <w:rsid w:val="00DF5127"/>
    <w:rsid w:val="00DF5A48"/>
    <w:rsid w:val="00DF7234"/>
    <w:rsid w:val="00DF7EEB"/>
    <w:rsid w:val="00E0124B"/>
    <w:rsid w:val="00E01CE1"/>
    <w:rsid w:val="00E034D4"/>
    <w:rsid w:val="00E04DA4"/>
    <w:rsid w:val="00E05ECD"/>
    <w:rsid w:val="00E06019"/>
    <w:rsid w:val="00E06E65"/>
    <w:rsid w:val="00E07E80"/>
    <w:rsid w:val="00E10DC2"/>
    <w:rsid w:val="00E11720"/>
    <w:rsid w:val="00E13068"/>
    <w:rsid w:val="00E13400"/>
    <w:rsid w:val="00E1402B"/>
    <w:rsid w:val="00E141C1"/>
    <w:rsid w:val="00E14A11"/>
    <w:rsid w:val="00E14DDB"/>
    <w:rsid w:val="00E16D0A"/>
    <w:rsid w:val="00E200B4"/>
    <w:rsid w:val="00E200D8"/>
    <w:rsid w:val="00E2070E"/>
    <w:rsid w:val="00E21369"/>
    <w:rsid w:val="00E217E1"/>
    <w:rsid w:val="00E22238"/>
    <w:rsid w:val="00E22D55"/>
    <w:rsid w:val="00E23A2C"/>
    <w:rsid w:val="00E2436C"/>
    <w:rsid w:val="00E24858"/>
    <w:rsid w:val="00E2786D"/>
    <w:rsid w:val="00E30F28"/>
    <w:rsid w:val="00E3207C"/>
    <w:rsid w:val="00E321E3"/>
    <w:rsid w:val="00E32E4B"/>
    <w:rsid w:val="00E32F46"/>
    <w:rsid w:val="00E351BC"/>
    <w:rsid w:val="00E35662"/>
    <w:rsid w:val="00E403C7"/>
    <w:rsid w:val="00E42666"/>
    <w:rsid w:val="00E4271C"/>
    <w:rsid w:val="00E43E7C"/>
    <w:rsid w:val="00E5065E"/>
    <w:rsid w:val="00E50A58"/>
    <w:rsid w:val="00E50B23"/>
    <w:rsid w:val="00E50D10"/>
    <w:rsid w:val="00E512E0"/>
    <w:rsid w:val="00E5220E"/>
    <w:rsid w:val="00E546BC"/>
    <w:rsid w:val="00E54F1C"/>
    <w:rsid w:val="00E57554"/>
    <w:rsid w:val="00E575B3"/>
    <w:rsid w:val="00E61A95"/>
    <w:rsid w:val="00E6344E"/>
    <w:rsid w:val="00E63A55"/>
    <w:rsid w:val="00E64288"/>
    <w:rsid w:val="00E656B4"/>
    <w:rsid w:val="00E65E64"/>
    <w:rsid w:val="00E67B6A"/>
    <w:rsid w:val="00E714D7"/>
    <w:rsid w:val="00E71807"/>
    <w:rsid w:val="00E72042"/>
    <w:rsid w:val="00E72A32"/>
    <w:rsid w:val="00E7402B"/>
    <w:rsid w:val="00E7517C"/>
    <w:rsid w:val="00E75837"/>
    <w:rsid w:val="00E7694E"/>
    <w:rsid w:val="00E8004B"/>
    <w:rsid w:val="00E8101B"/>
    <w:rsid w:val="00E82426"/>
    <w:rsid w:val="00E82C59"/>
    <w:rsid w:val="00E82E79"/>
    <w:rsid w:val="00E82EFB"/>
    <w:rsid w:val="00E834E2"/>
    <w:rsid w:val="00E8562D"/>
    <w:rsid w:val="00E85C89"/>
    <w:rsid w:val="00E87453"/>
    <w:rsid w:val="00E91218"/>
    <w:rsid w:val="00E92106"/>
    <w:rsid w:val="00E92785"/>
    <w:rsid w:val="00E92E90"/>
    <w:rsid w:val="00E94C36"/>
    <w:rsid w:val="00E96FAC"/>
    <w:rsid w:val="00E979DC"/>
    <w:rsid w:val="00EA279F"/>
    <w:rsid w:val="00EA3611"/>
    <w:rsid w:val="00EA458E"/>
    <w:rsid w:val="00EA5050"/>
    <w:rsid w:val="00EA58C5"/>
    <w:rsid w:val="00EA59B6"/>
    <w:rsid w:val="00EA5F04"/>
    <w:rsid w:val="00EA6B61"/>
    <w:rsid w:val="00EA732D"/>
    <w:rsid w:val="00EA7433"/>
    <w:rsid w:val="00EA77C7"/>
    <w:rsid w:val="00EB0858"/>
    <w:rsid w:val="00EB17F6"/>
    <w:rsid w:val="00EB181D"/>
    <w:rsid w:val="00EB20A1"/>
    <w:rsid w:val="00EB2B08"/>
    <w:rsid w:val="00EB41B9"/>
    <w:rsid w:val="00EB4C48"/>
    <w:rsid w:val="00EB4F17"/>
    <w:rsid w:val="00EB532D"/>
    <w:rsid w:val="00EB5C85"/>
    <w:rsid w:val="00EB66C0"/>
    <w:rsid w:val="00EB6929"/>
    <w:rsid w:val="00EB705D"/>
    <w:rsid w:val="00EB7947"/>
    <w:rsid w:val="00EC0034"/>
    <w:rsid w:val="00EC1524"/>
    <w:rsid w:val="00EC19E9"/>
    <w:rsid w:val="00EC300C"/>
    <w:rsid w:val="00EC3D50"/>
    <w:rsid w:val="00EC5B1A"/>
    <w:rsid w:val="00ED01BC"/>
    <w:rsid w:val="00ED1C10"/>
    <w:rsid w:val="00ED20A6"/>
    <w:rsid w:val="00ED2C8B"/>
    <w:rsid w:val="00ED2F57"/>
    <w:rsid w:val="00ED4DFF"/>
    <w:rsid w:val="00ED6456"/>
    <w:rsid w:val="00ED7654"/>
    <w:rsid w:val="00EE0277"/>
    <w:rsid w:val="00EE2511"/>
    <w:rsid w:val="00EE3ACF"/>
    <w:rsid w:val="00EE4B55"/>
    <w:rsid w:val="00EE5F33"/>
    <w:rsid w:val="00EE6A03"/>
    <w:rsid w:val="00EE7217"/>
    <w:rsid w:val="00EF0596"/>
    <w:rsid w:val="00EF094F"/>
    <w:rsid w:val="00EF291A"/>
    <w:rsid w:val="00EF2997"/>
    <w:rsid w:val="00EF354F"/>
    <w:rsid w:val="00EF385F"/>
    <w:rsid w:val="00EF43D1"/>
    <w:rsid w:val="00EF4BF3"/>
    <w:rsid w:val="00EF7228"/>
    <w:rsid w:val="00EF7858"/>
    <w:rsid w:val="00EF7B21"/>
    <w:rsid w:val="00F01017"/>
    <w:rsid w:val="00F020BF"/>
    <w:rsid w:val="00F024F7"/>
    <w:rsid w:val="00F02B82"/>
    <w:rsid w:val="00F02DEC"/>
    <w:rsid w:val="00F07119"/>
    <w:rsid w:val="00F11050"/>
    <w:rsid w:val="00F12281"/>
    <w:rsid w:val="00F12577"/>
    <w:rsid w:val="00F12F30"/>
    <w:rsid w:val="00F134F1"/>
    <w:rsid w:val="00F13661"/>
    <w:rsid w:val="00F1497B"/>
    <w:rsid w:val="00F179CC"/>
    <w:rsid w:val="00F209FB"/>
    <w:rsid w:val="00F21332"/>
    <w:rsid w:val="00F22F93"/>
    <w:rsid w:val="00F2510D"/>
    <w:rsid w:val="00F25482"/>
    <w:rsid w:val="00F25E79"/>
    <w:rsid w:val="00F26B43"/>
    <w:rsid w:val="00F26F7C"/>
    <w:rsid w:val="00F27714"/>
    <w:rsid w:val="00F2771E"/>
    <w:rsid w:val="00F278AD"/>
    <w:rsid w:val="00F27AB6"/>
    <w:rsid w:val="00F30231"/>
    <w:rsid w:val="00F30A59"/>
    <w:rsid w:val="00F31D85"/>
    <w:rsid w:val="00F33A2D"/>
    <w:rsid w:val="00F34D4F"/>
    <w:rsid w:val="00F3506B"/>
    <w:rsid w:val="00F3633B"/>
    <w:rsid w:val="00F3636F"/>
    <w:rsid w:val="00F366C8"/>
    <w:rsid w:val="00F40179"/>
    <w:rsid w:val="00F4271F"/>
    <w:rsid w:val="00F43AF0"/>
    <w:rsid w:val="00F47AAC"/>
    <w:rsid w:val="00F50A96"/>
    <w:rsid w:val="00F5317E"/>
    <w:rsid w:val="00F541A3"/>
    <w:rsid w:val="00F5437E"/>
    <w:rsid w:val="00F5456D"/>
    <w:rsid w:val="00F55F29"/>
    <w:rsid w:val="00F56EDD"/>
    <w:rsid w:val="00F57A0B"/>
    <w:rsid w:val="00F57DC5"/>
    <w:rsid w:val="00F60CE6"/>
    <w:rsid w:val="00F6138F"/>
    <w:rsid w:val="00F61F57"/>
    <w:rsid w:val="00F64702"/>
    <w:rsid w:val="00F65C78"/>
    <w:rsid w:val="00F6677E"/>
    <w:rsid w:val="00F70349"/>
    <w:rsid w:val="00F70E02"/>
    <w:rsid w:val="00F7154E"/>
    <w:rsid w:val="00F724B5"/>
    <w:rsid w:val="00F72768"/>
    <w:rsid w:val="00F72D3D"/>
    <w:rsid w:val="00F738F5"/>
    <w:rsid w:val="00F73F05"/>
    <w:rsid w:val="00F74282"/>
    <w:rsid w:val="00F76638"/>
    <w:rsid w:val="00F76772"/>
    <w:rsid w:val="00F811FF"/>
    <w:rsid w:val="00F8195E"/>
    <w:rsid w:val="00F82FE9"/>
    <w:rsid w:val="00F83754"/>
    <w:rsid w:val="00F83BDB"/>
    <w:rsid w:val="00F8433E"/>
    <w:rsid w:val="00F84C18"/>
    <w:rsid w:val="00F917B7"/>
    <w:rsid w:val="00F91C59"/>
    <w:rsid w:val="00F93868"/>
    <w:rsid w:val="00F943FB"/>
    <w:rsid w:val="00F97078"/>
    <w:rsid w:val="00F979B1"/>
    <w:rsid w:val="00F97E43"/>
    <w:rsid w:val="00FA0C67"/>
    <w:rsid w:val="00FA125D"/>
    <w:rsid w:val="00FA34F4"/>
    <w:rsid w:val="00FA36C1"/>
    <w:rsid w:val="00FA4649"/>
    <w:rsid w:val="00FA50E6"/>
    <w:rsid w:val="00FA66F0"/>
    <w:rsid w:val="00FA7CAD"/>
    <w:rsid w:val="00FA7F29"/>
    <w:rsid w:val="00FB06E5"/>
    <w:rsid w:val="00FB16F5"/>
    <w:rsid w:val="00FB17CF"/>
    <w:rsid w:val="00FB1F59"/>
    <w:rsid w:val="00FB26F8"/>
    <w:rsid w:val="00FB2C88"/>
    <w:rsid w:val="00FB2FF0"/>
    <w:rsid w:val="00FB3783"/>
    <w:rsid w:val="00FB42A7"/>
    <w:rsid w:val="00FB5815"/>
    <w:rsid w:val="00FB5C21"/>
    <w:rsid w:val="00FB5DF9"/>
    <w:rsid w:val="00FB5F16"/>
    <w:rsid w:val="00FB61C9"/>
    <w:rsid w:val="00FB61EB"/>
    <w:rsid w:val="00FB68CD"/>
    <w:rsid w:val="00FC07D4"/>
    <w:rsid w:val="00FC07FD"/>
    <w:rsid w:val="00FC29F9"/>
    <w:rsid w:val="00FC3019"/>
    <w:rsid w:val="00FC58C6"/>
    <w:rsid w:val="00FC608D"/>
    <w:rsid w:val="00FC62D6"/>
    <w:rsid w:val="00FD1277"/>
    <w:rsid w:val="00FD2B24"/>
    <w:rsid w:val="00FD2EC6"/>
    <w:rsid w:val="00FD379E"/>
    <w:rsid w:val="00FD5B55"/>
    <w:rsid w:val="00FD79BE"/>
    <w:rsid w:val="00FE08B7"/>
    <w:rsid w:val="00FE0A5F"/>
    <w:rsid w:val="00FE2035"/>
    <w:rsid w:val="00FE2E44"/>
    <w:rsid w:val="00FE4685"/>
    <w:rsid w:val="00FE4D00"/>
    <w:rsid w:val="00FE5324"/>
    <w:rsid w:val="00FE67D2"/>
    <w:rsid w:val="00FE756B"/>
    <w:rsid w:val="00FE7D26"/>
    <w:rsid w:val="00FF04BF"/>
    <w:rsid w:val="00FF1173"/>
    <w:rsid w:val="00FF2247"/>
    <w:rsid w:val="00FF31B2"/>
    <w:rsid w:val="00FF3847"/>
    <w:rsid w:val="00FF3FC1"/>
    <w:rsid w:val="00FF427D"/>
    <w:rsid w:val="00FF47ED"/>
    <w:rsid w:val="00FF48E0"/>
    <w:rsid w:val="00FF55A4"/>
    <w:rsid w:val="00FF6189"/>
    <w:rsid w:val="00FF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 w:type="paragraph" w:styleId="PlainText">
    <w:name w:val="Plain Text"/>
    <w:basedOn w:val="Normal"/>
    <w:link w:val="PlainTextChar"/>
    <w:uiPriority w:val="99"/>
    <w:semiHidden/>
    <w:unhideWhenUsed/>
    <w:rsid w:val="00FD2B24"/>
    <w:rPr>
      <w:rFonts w:ascii="Consolas" w:hAnsi="Consolas"/>
      <w:sz w:val="21"/>
      <w:szCs w:val="21"/>
    </w:rPr>
  </w:style>
  <w:style w:type="character" w:customStyle="1" w:styleId="PlainTextChar">
    <w:name w:val="Plain Text Char"/>
    <w:basedOn w:val="DefaultParagraphFont"/>
    <w:link w:val="PlainText"/>
    <w:uiPriority w:val="99"/>
    <w:semiHidden/>
    <w:rsid w:val="00FD2B2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 w:type="paragraph" w:styleId="PlainText">
    <w:name w:val="Plain Text"/>
    <w:basedOn w:val="Normal"/>
    <w:link w:val="PlainTextChar"/>
    <w:uiPriority w:val="99"/>
    <w:semiHidden/>
    <w:unhideWhenUsed/>
    <w:rsid w:val="00FD2B24"/>
    <w:rPr>
      <w:rFonts w:ascii="Consolas" w:hAnsi="Consolas"/>
      <w:sz w:val="21"/>
      <w:szCs w:val="21"/>
    </w:rPr>
  </w:style>
  <w:style w:type="character" w:customStyle="1" w:styleId="PlainTextChar">
    <w:name w:val="Plain Text Char"/>
    <w:basedOn w:val="DefaultParagraphFont"/>
    <w:link w:val="PlainText"/>
    <w:uiPriority w:val="99"/>
    <w:semiHidden/>
    <w:rsid w:val="00FD2B2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0824">
      <w:bodyDiv w:val="1"/>
      <w:marLeft w:val="0"/>
      <w:marRight w:val="0"/>
      <w:marTop w:val="0"/>
      <w:marBottom w:val="0"/>
      <w:divBdr>
        <w:top w:val="none" w:sz="0" w:space="0" w:color="auto"/>
        <w:left w:val="none" w:sz="0" w:space="0" w:color="auto"/>
        <w:bottom w:val="none" w:sz="0" w:space="0" w:color="auto"/>
        <w:right w:val="none" w:sz="0" w:space="0" w:color="auto"/>
      </w:divBdr>
    </w:div>
    <w:div w:id="50689858">
      <w:bodyDiv w:val="1"/>
      <w:marLeft w:val="0"/>
      <w:marRight w:val="0"/>
      <w:marTop w:val="0"/>
      <w:marBottom w:val="0"/>
      <w:divBdr>
        <w:top w:val="none" w:sz="0" w:space="0" w:color="auto"/>
        <w:left w:val="none" w:sz="0" w:space="0" w:color="auto"/>
        <w:bottom w:val="none" w:sz="0" w:space="0" w:color="auto"/>
        <w:right w:val="none" w:sz="0" w:space="0" w:color="auto"/>
      </w:divBdr>
    </w:div>
    <w:div w:id="73627047">
      <w:bodyDiv w:val="1"/>
      <w:marLeft w:val="0"/>
      <w:marRight w:val="0"/>
      <w:marTop w:val="0"/>
      <w:marBottom w:val="0"/>
      <w:divBdr>
        <w:top w:val="none" w:sz="0" w:space="0" w:color="auto"/>
        <w:left w:val="none" w:sz="0" w:space="0" w:color="auto"/>
        <w:bottom w:val="none" w:sz="0" w:space="0" w:color="auto"/>
        <w:right w:val="none" w:sz="0" w:space="0" w:color="auto"/>
      </w:divBdr>
    </w:div>
    <w:div w:id="81032709">
      <w:bodyDiv w:val="1"/>
      <w:marLeft w:val="0"/>
      <w:marRight w:val="0"/>
      <w:marTop w:val="0"/>
      <w:marBottom w:val="0"/>
      <w:divBdr>
        <w:top w:val="none" w:sz="0" w:space="0" w:color="auto"/>
        <w:left w:val="none" w:sz="0" w:space="0" w:color="auto"/>
        <w:bottom w:val="none" w:sz="0" w:space="0" w:color="auto"/>
        <w:right w:val="none" w:sz="0" w:space="0" w:color="auto"/>
      </w:divBdr>
    </w:div>
    <w:div w:id="111023918">
      <w:bodyDiv w:val="1"/>
      <w:marLeft w:val="0"/>
      <w:marRight w:val="0"/>
      <w:marTop w:val="0"/>
      <w:marBottom w:val="0"/>
      <w:divBdr>
        <w:top w:val="none" w:sz="0" w:space="0" w:color="auto"/>
        <w:left w:val="none" w:sz="0" w:space="0" w:color="auto"/>
        <w:bottom w:val="none" w:sz="0" w:space="0" w:color="auto"/>
        <w:right w:val="none" w:sz="0" w:space="0" w:color="auto"/>
      </w:divBdr>
    </w:div>
    <w:div w:id="135463134">
      <w:bodyDiv w:val="1"/>
      <w:marLeft w:val="0"/>
      <w:marRight w:val="0"/>
      <w:marTop w:val="0"/>
      <w:marBottom w:val="0"/>
      <w:divBdr>
        <w:top w:val="none" w:sz="0" w:space="0" w:color="auto"/>
        <w:left w:val="none" w:sz="0" w:space="0" w:color="auto"/>
        <w:bottom w:val="none" w:sz="0" w:space="0" w:color="auto"/>
        <w:right w:val="none" w:sz="0" w:space="0" w:color="auto"/>
      </w:divBdr>
    </w:div>
    <w:div w:id="193160112">
      <w:bodyDiv w:val="1"/>
      <w:marLeft w:val="0"/>
      <w:marRight w:val="0"/>
      <w:marTop w:val="0"/>
      <w:marBottom w:val="0"/>
      <w:divBdr>
        <w:top w:val="none" w:sz="0" w:space="0" w:color="auto"/>
        <w:left w:val="none" w:sz="0" w:space="0" w:color="auto"/>
        <w:bottom w:val="none" w:sz="0" w:space="0" w:color="auto"/>
        <w:right w:val="none" w:sz="0" w:space="0" w:color="auto"/>
      </w:divBdr>
      <w:divsChild>
        <w:div w:id="2133285297">
          <w:marLeft w:val="0"/>
          <w:marRight w:val="0"/>
          <w:marTop w:val="0"/>
          <w:marBottom w:val="0"/>
          <w:divBdr>
            <w:top w:val="none" w:sz="0" w:space="0" w:color="auto"/>
            <w:left w:val="none" w:sz="0" w:space="0" w:color="auto"/>
            <w:bottom w:val="none" w:sz="0" w:space="0" w:color="auto"/>
            <w:right w:val="none" w:sz="0" w:space="0" w:color="auto"/>
          </w:divBdr>
          <w:divsChild>
            <w:div w:id="596602117">
              <w:marLeft w:val="0"/>
              <w:marRight w:val="0"/>
              <w:marTop w:val="525"/>
              <w:marBottom w:val="0"/>
              <w:divBdr>
                <w:top w:val="none" w:sz="0" w:space="0" w:color="auto"/>
                <w:left w:val="none" w:sz="0" w:space="0" w:color="auto"/>
                <w:bottom w:val="none" w:sz="0" w:space="0" w:color="auto"/>
                <w:right w:val="none" w:sz="0" w:space="0" w:color="auto"/>
              </w:divBdr>
              <w:divsChild>
                <w:div w:id="1577400438">
                  <w:marLeft w:val="0"/>
                  <w:marRight w:val="0"/>
                  <w:marTop w:val="0"/>
                  <w:marBottom w:val="0"/>
                  <w:divBdr>
                    <w:top w:val="none" w:sz="0" w:space="0" w:color="auto"/>
                    <w:left w:val="none" w:sz="0" w:space="0" w:color="auto"/>
                    <w:bottom w:val="none" w:sz="0" w:space="0" w:color="auto"/>
                    <w:right w:val="none" w:sz="0" w:space="0" w:color="auto"/>
                  </w:divBdr>
                  <w:divsChild>
                    <w:div w:id="1501576018">
                      <w:marLeft w:val="0"/>
                      <w:marRight w:val="300"/>
                      <w:marTop w:val="0"/>
                      <w:marBottom w:val="0"/>
                      <w:divBdr>
                        <w:top w:val="none" w:sz="0" w:space="0" w:color="auto"/>
                        <w:left w:val="none" w:sz="0" w:space="0" w:color="auto"/>
                        <w:bottom w:val="none" w:sz="0" w:space="0" w:color="auto"/>
                        <w:right w:val="none" w:sz="0" w:space="0" w:color="auto"/>
                      </w:divBdr>
                      <w:divsChild>
                        <w:div w:id="593786560">
                          <w:marLeft w:val="0"/>
                          <w:marRight w:val="0"/>
                          <w:marTop w:val="0"/>
                          <w:marBottom w:val="0"/>
                          <w:divBdr>
                            <w:top w:val="none" w:sz="0" w:space="0" w:color="auto"/>
                            <w:left w:val="none" w:sz="0" w:space="0" w:color="auto"/>
                            <w:bottom w:val="none" w:sz="0" w:space="0" w:color="auto"/>
                            <w:right w:val="none" w:sz="0" w:space="0" w:color="auto"/>
                          </w:divBdr>
                          <w:divsChild>
                            <w:div w:id="997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8945">
      <w:bodyDiv w:val="1"/>
      <w:marLeft w:val="0"/>
      <w:marRight w:val="0"/>
      <w:marTop w:val="0"/>
      <w:marBottom w:val="0"/>
      <w:divBdr>
        <w:top w:val="none" w:sz="0" w:space="0" w:color="auto"/>
        <w:left w:val="none" w:sz="0" w:space="0" w:color="auto"/>
        <w:bottom w:val="none" w:sz="0" w:space="0" w:color="auto"/>
        <w:right w:val="none" w:sz="0" w:space="0" w:color="auto"/>
      </w:divBdr>
    </w:div>
    <w:div w:id="262495223">
      <w:bodyDiv w:val="1"/>
      <w:marLeft w:val="0"/>
      <w:marRight w:val="0"/>
      <w:marTop w:val="0"/>
      <w:marBottom w:val="0"/>
      <w:divBdr>
        <w:top w:val="none" w:sz="0" w:space="0" w:color="auto"/>
        <w:left w:val="none" w:sz="0" w:space="0" w:color="auto"/>
        <w:bottom w:val="none" w:sz="0" w:space="0" w:color="auto"/>
        <w:right w:val="none" w:sz="0" w:space="0" w:color="auto"/>
      </w:divBdr>
    </w:div>
    <w:div w:id="280844210">
      <w:bodyDiv w:val="1"/>
      <w:marLeft w:val="0"/>
      <w:marRight w:val="0"/>
      <w:marTop w:val="0"/>
      <w:marBottom w:val="0"/>
      <w:divBdr>
        <w:top w:val="none" w:sz="0" w:space="0" w:color="auto"/>
        <w:left w:val="none" w:sz="0" w:space="0" w:color="auto"/>
        <w:bottom w:val="none" w:sz="0" w:space="0" w:color="auto"/>
        <w:right w:val="none" w:sz="0" w:space="0" w:color="auto"/>
      </w:divBdr>
    </w:div>
    <w:div w:id="302853337">
      <w:bodyDiv w:val="1"/>
      <w:marLeft w:val="0"/>
      <w:marRight w:val="0"/>
      <w:marTop w:val="0"/>
      <w:marBottom w:val="0"/>
      <w:divBdr>
        <w:top w:val="none" w:sz="0" w:space="0" w:color="auto"/>
        <w:left w:val="none" w:sz="0" w:space="0" w:color="auto"/>
        <w:bottom w:val="none" w:sz="0" w:space="0" w:color="auto"/>
        <w:right w:val="none" w:sz="0" w:space="0" w:color="auto"/>
      </w:divBdr>
    </w:div>
    <w:div w:id="379323279">
      <w:bodyDiv w:val="1"/>
      <w:marLeft w:val="0"/>
      <w:marRight w:val="0"/>
      <w:marTop w:val="0"/>
      <w:marBottom w:val="0"/>
      <w:divBdr>
        <w:top w:val="none" w:sz="0" w:space="0" w:color="auto"/>
        <w:left w:val="none" w:sz="0" w:space="0" w:color="auto"/>
        <w:bottom w:val="none" w:sz="0" w:space="0" w:color="auto"/>
        <w:right w:val="none" w:sz="0" w:space="0" w:color="auto"/>
      </w:divBdr>
    </w:div>
    <w:div w:id="520321418">
      <w:bodyDiv w:val="1"/>
      <w:marLeft w:val="0"/>
      <w:marRight w:val="0"/>
      <w:marTop w:val="0"/>
      <w:marBottom w:val="0"/>
      <w:divBdr>
        <w:top w:val="none" w:sz="0" w:space="0" w:color="auto"/>
        <w:left w:val="none" w:sz="0" w:space="0" w:color="auto"/>
        <w:bottom w:val="none" w:sz="0" w:space="0" w:color="auto"/>
        <w:right w:val="none" w:sz="0" w:space="0" w:color="auto"/>
      </w:divBdr>
    </w:div>
    <w:div w:id="538710256">
      <w:bodyDiv w:val="1"/>
      <w:marLeft w:val="0"/>
      <w:marRight w:val="0"/>
      <w:marTop w:val="0"/>
      <w:marBottom w:val="0"/>
      <w:divBdr>
        <w:top w:val="none" w:sz="0" w:space="0" w:color="auto"/>
        <w:left w:val="none" w:sz="0" w:space="0" w:color="auto"/>
        <w:bottom w:val="none" w:sz="0" w:space="0" w:color="auto"/>
        <w:right w:val="none" w:sz="0" w:space="0" w:color="auto"/>
      </w:divBdr>
    </w:div>
    <w:div w:id="560336331">
      <w:bodyDiv w:val="1"/>
      <w:marLeft w:val="0"/>
      <w:marRight w:val="0"/>
      <w:marTop w:val="0"/>
      <w:marBottom w:val="0"/>
      <w:divBdr>
        <w:top w:val="none" w:sz="0" w:space="0" w:color="auto"/>
        <w:left w:val="none" w:sz="0" w:space="0" w:color="auto"/>
        <w:bottom w:val="none" w:sz="0" w:space="0" w:color="auto"/>
        <w:right w:val="none" w:sz="0" w:space="0" w:color="auto"/>
      </w:divBdr>
    </w:div>
    <w:div w:id="578833709">
      <w:bodyDiv w:val="1"/>
      <w:marLeft w:val="0"/>
      <w:marRight w:val="0"/>
      <w:marTop w:val="0"/>
      <w:marBottom w:val="0"/>
      <w:divBdr>
        <w:top w:val="none" w:sz="0" w:space="0" w:color="auto"/>
        <w:left w:val="none" w:sz="0" w:space="0" w:color="auto"/>
        <w:bottom w:val="none" w:sz="0" w:space="0" w:color="auto"/>
        <w:right w:val="none" w:sz="0" w:space="0" w:color="auto"/>
      </w:divBdr>
    </w:div>
    <w:div w:id="589772910">
      <w:bodyDiv w:val="1"/>
      <w:marLeft w:val="0"/>
      <w:marRight w:val="0"/>
      <w:marTop w:val="0"/>
      <w:marBottom w:val="0"/>
      <w:divBdr>
        <w:top w:val="none" w:sz="0" w:space="0" w:color="auto"/>
        <w:left w:val="none" w:sz="0" w:space="0" w:color="auto"/>
        <w:bottom w:val="none" w:sz="0" w:space="0" w:color="auto"/>
        <w:right w:val="none" w:sz="0" w:space="0" w:color="auto"/>
      </w:divBdr>
    </w:div>
    <w:div w:id="632829343">
      <w:bodyDiv w:val="1"/>
      <w:marLeft w:val="0"/>
      <w:marRight w:val="0"/>
      <w:marTop w:val="0"/>
      <w:marBottom w:val="0"/>
      <w:divBdr>
        <w:top w:val="none" w:sz="0" w:space="0" w:color="auto"/>
        <w:left w:val="none" w:sz="0" w:space="0" w:color="auto"/>
        <w:bottom w:val="none" w:sz="0" w:space="0" w:color="auto"/>
        <w:right w:val="none" w:sz="0" w:space="0" w:color="auto"/>
      </w:divBdr>
    </w:div>
    <w:div w:id="662969196">
      <w:bodyDiv w:val="1"/>
      <w:marLeft w:val="0"/>
      <w:marRight w:val="0"/>
      <w:marTop w:val="0"/>
      <w:marBottom w:val="0"/>
      <w:divBdr>
        <w:top w:val="none" w:sz="0" w:space="0" w:color="auto"/>
        <w:left w:val="none" w:sz="0" w:space="0" w:color="auto"/>
        <w:bottom w:val="none" w:sz="0" w:space="0" w:color="auto"/>
        <w:right w:val="none" w:sz="0" w:space="0" w:color="auto"/>
      </w:divBdr>
    </w:div>
    <w:div w:id="727917895">
      <w:bodyDiv w:val="1"/>
      <w:marLeft w:val="0"/>
      <w:marRight w:val="0"/>
      <w:marTop w:val="0"/>
      <w:marBottom w:val="0"/>
      <w:divBdr>
        <w:top w:val="none" w:sz="0" w:space="0" w:color="auto"/>
        <w:left w:val="none" w:sz="0" w:space="0" w:color="auto"/>
        <w:bottom w:val="none" w:sz="0" w:space="0" w:color="auto"/>
        <w:right w:val="none" w:sz="0" w:space="0" w:color="auto"/>
      </w:divBdr>
    </w:div>
    <w:div w:id="728647301">
      <w:bodyDiv w:val="1"/>
      <w:marLeft w:val="0"/>
      <w:marRight w:val="0"/>
      <w:marTop w:val="0"/>
      <w:marBottom w:val="0"/>
      <w:divBdr>
        <w:top w:val="none" w:sz="0" w:space="0" w:color="auto"/>
        <w:left w:val="none" w:sz="0" w:space="0" w:color="auto"/>
        <w:bottom w:val="none" w:sz="0" w:space="0" w:color="auto"/>
        <w:right w:val="none" w:sz="0" w:space="0" w:color="auto"/>
      </w:divBdr>
    </w:div>
    <w:div w:id="811286702">
      <w:bodyDiv w:val="1"/>
      <w:marLeft w:val="0"/>
      <w:marRight w:val="0"/>
      <w:marTop w:val="0"/>
      <w:marBottom w:val="0"/>
      <w:divBdr>
        <w:top w:val="none" w:sz="0" w:space="0" w:color="auto"/>
        <w:left w:val="none" w:sz="0" w:space="0" w:color="auto"/>
        <w:bottom w:val="none" w:sz="0" w:space="0" w:color="auto"/>
        <w:right w:val="none" w:sz="0" w:space="0" w:color="auto"/>
      </w:divBdr>
    </w:div>
    <w:div w:id="848256227">
      <w:bodyDiv w:val="1"/>
      <w:marLeft w:val="0"/>
      <w:marRight w:val="0"/>
      <w:marTop w:val="0"/>
      <w:marBottom w:val="0"/>
      <w:divBdr>
        <w:top w:val="none" w:sz="0" w:space="0" w:color="auto"/>
        <w:left w:val="none" w:sz="0" w:space="0" w:color="auto"/>
        <w:bottom w:val="none" w:sz="0" w:space="0" w:color="auto"/>
        <w:right w:val="none" w:sz="0" w:space="0" w:color="auto"/>
      </w:divBdr>
    </w:div>
    <w:div w:id="853880758">
      <w:bodyDiv w:val="1"/>
      <w:marLeft w:val="0"/>
      <w:marRight w:val="0"/>
      <w:marTop w:val="0"/>
      <w:marBottom w:val="0"/>
      <w:divBdr>
        <w:top w:val="none" w:sz="0" w:space="0" w:color="auto"/>
        <w:left w:val="none" w:sz="0" w:space="0" w:color="auto"/>
        <w:bottom w:val="none" w:sz="0" w:space="0" w:color="auto"/>
        <w:right w:val="none" w:sz="0" w:space="0" w:color="auto"/>
      </w:divBdr>
    </w:div>
    <w:div w:id="861357099">
      <w:bodyDiv w:val="1"/>
      <w:marLeft w:val="0"/>
      <w:marRight w:val="0"/>
      <w:marTop w:val="0"/>
      <w:marBottom w:val="0"/>
      <w:divBdr>
        <w:top w:val="none" w:sz="0" w:space="0" w:color="auto"/>
        <w:left w:val="none" w:sz="0" w:space="0" w:color="auto"/>
        <w:bottom w:val="none" w:sz="0" w:space="0" w:color="auto"/>
        <w:right w:val="none" w:sz="0" w:space="0" w:color="auto"/>
      </w:divBdr>
    </w:div>
    <w:div w:id="884097796">
      <w:bodyDiv w:val="1"/>
      <w:marLeft w:val="0"/>
      <w:marRight w:val="0"/>
      <w:marTop w:val="0"/>
      <w:marBottom w:val="0"/>
      <w:divBdr>
        <w:top w:val="none" w:sz="0" w:space="0" w:color="auto"/>
        <w:left w:val="none" w:sz="0" w:space="0" w:color="auto"/>
        <w:bottom w:val="none" w:sz="0" w:space="0" w:color="auto"/>
        <w:right w:val="none" w:sz="0" w:space="0" w:color="auto"/>
      </w:divBdr>
    </w:div>
    <w:div w:id="991372907">
      <w:bodyDiv w:val="1"/>
      <w:marLeft w:val="0"/>
      <w:marRight w:val="0"/>
      <w:marTop w:val="0"/>
      <w:marBottom w:val="0"/>
      <w:divBdr>
        <w:top w:val="none" w:sz="0" w:space="0" w:color="auto"/>
        <w:left w:val="none" w:sz="0" w:space="0" w:color="auto"/>
        <w:bottom w:val="none" w:sz="0" w:space="0" w:color="auto"/>
        <w:right w:val="none" w:sz="0" w:space="0" w:color="auto"/>
      </w:divBdr>
    </w:div>
    <w:div w:id="1018123527">
      <w:bodyDiv w:val="1"/>
      <w:marLeft w:val="0"/>
      <w:marRight w:val="0"/>
      <w:marTop w:val="0"/>
      <w:marBottom w:val="0"/>
      <w:divBdr>
        <w:top w:val="none" w:sz="0" w:space="0" w:color="auto"/>
        <w:left w:val="none" w:sz="0" w:space="0" w:color="auto"/>
        <w:bottom w:val="none" w:sz="0" w:space="0" w:color="auto"/>
        <w:right w:val="none" w:sz="0" w:space="0" w:color="auto"/>
      </w:divBdr>
    </w:div>
    <w:div w:id="1020427816">
      <w:bodyDiv w:val="1"/>
      <w:marLeft w:val="0"/>
      <w:marRight w:val="0"/>
      <w:marTop w:val="0"/>
      <w:marBottom w:val="0"/>
      <w:divBdr>
        <w:top w:val="none" w:sz="0" w:space="0" w:color="auto"/>
        <w:left w:val="none" w:sz="0" w:space="0" w:color="auto"/>
        <w:bottom w:val="none" w:sz="0" w:space="0" w:color="auto"/>
        <w:right w:val="none" w:sz="0" w:space="0" w:color="auto"/>
      </w:divBdr>
    </w:div>
    <w:div w:id="1051659339">
      <w:bodyDiv w:val="1"/>
      <w:marLeft w:val="0"/>
      <w:marRight w:val="0"/>
      <w:marTop w:val="0"/>
      <w:marBottom w:val="0"/>
      <w:divBdr>
        <w:top w:val="none" w:sz="0" w:space="0" w:color="auto"/>
        <w:left w:val="none" w:sz="0" w:space="0" w:color="auto"/>
        <w:bottom w:val="none" w:sz="0" w:space="0" w:color="auto"/>
        <w:right w:val="none" w:sz="0" w:space="0" w:color="auto"/>
      </w:divBdr>
    </w:div>
    <w:div w:id="1058628333">
      <w:bodyDiv w:val="1"/>
      <w:marLeft w:val="0"/>
      <w:marRight w:val="0"/>
      <w:marTop w:val="0"/>
      <w:marBottom w:val="0"/>
      <w:divBdr>
        <w:top w:val="none" w:sz="0" w:space="0" w:color="auto"/>
        <w:left w:val="none" w:sz="0" w:space="0" w:color="auto"/>
        <w:bottom w:val="none" w:sz="0" w:space="0" w:color="auto"/>
        <w:right w:val="none" w:sz="0" w:space="0" w:color="auto"/>
      </w:divBdr>
    </w:div>
    <w:div w:id="1137574361">
      <w:bodyDiv w:val="1"/>
      <w:marLeft w:val="0"/>
      <w:marRight w:val="0"/>
      <w:marTop w:val="0"/>
      <w:marBottom w:val="0"/>
      <w:divBdr>
        <w:top w:val="none" w:sz="0" w:space="0" w:color="auto"/>
        <w:left w:val="none" w:sz="0" w:space="0" w:color="auto"/>
        <w:bottom w:val="none" w:sz="0" w:space="0" w:color="auto"/>
        <w:right w:val="none" w:sz="0" w:space="0" w:color="auto"/>
      </w:divBdr>
    </w:div>
    <w:div w:id="1151216362">
      <w:bodyDiv w:val="1"/>
      <w:marLeft w:val="0"/>
      <w:marRight w:val="0"/>
      <w:marTop w:val="0"/>
      <w:marBottom w:val="0"/>
      <w:divBdr>
        <w:top w:val="none" w:sz="0" w:space="0" w:color="auto"/>
        <w:left w:val="none" w:sz="0" w:space="0" w:color="auto"/>
        <w:bottom w:val="none" w:sz="0" w:space="0" w:color="auto"/>
        <w:right w:val="none" w:sz="0" w:space="0" w:color="auto"/>
      </w:divBdr>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
    <w:div w:id="1160346886">
      <w:bodyDiv w:val="1"/>
      <w:marLeft w:val="0"/>
      <w:marRight w:val="0"/>
      <w:marTop w:val="0"/>
      <w:marBottom w:val="0"/>
      <w:divBdr>
        <w:top w:val="none" w:sz="0" w:space="0" w:color="auto"/>
        <w:left w:val="none" w:sz="0" w:space="0" w:color="auto"/>
        <w:bottom w:val="none" w:sz="0" w:space="0" w:color="auto"/>
        <w:right w:val="none" w:sz="0" w:space="0" w:color="auto"/>
      </w:divBdr>
    </w:div>
    <w:div w:id="1202355256">
      <w:bodyDiv w:val="1"/>
      <w:marLeft w:val="0"/>
      <w:marRight w:val="0"/>
      <w:marTop w:val="0"/>
      <w:marBottom w:val="0"/>
      <w:divBdr>
        <w:top w:val="none" w:sz="0" w:space="0" w:color="auto"/>
        <w:left w:val="none" w:sz="0" w:space="0" w:color="auto"/>
        <w:bottom w:val="none" w:sz="0" w:space="0" w:color="auto"/>
        <w:right w:val="none" w:sz="0" w:space="0" w:color="auto"/>
      </w:divBdr>
    </w:div>
    <w:div w:id="1240020203">
      <w:bodyDiv w:val="1"/>
      <w:marLeft w:val="0"/>
      <w:marRight w:val="0"/>
      <w:marTop w:val="0"/>
      <w:marBottom w:val="0"/>
      <w:divBdr>
        <w:top w:val="none" w:sz="0" w:space="0" w:color="auto"/>
        <w:left w:val="none" w:sz="0" w:space="0" w:color="auto"/>
        <w:bottom w:val="none" w:sz="0" w:space="0" w:color="auto"/>
        <w:right w:val="none" w:sz="0" w:space="0" w:color="auto"/>
      </w:divBdr>
    </w:div>
    <w:div w:id="1244071396">
      <w:bodyDiv w:val="1"/>
      <w:marLeft w:val="0"/>
      <w:marRight w:val="0"/>
      <w:marTop w:val="0"/>
      <w:marBottom w:val="0"/>
      <w:divBdr>
        <w:top w:val="none" w:sz="0" w:space="0" w:color="auto"/>
        <w:left w:val="none" w:sz="0" w:space="0" w:color="auto"/>
        <w:bottom w:val="none" w:sz="0" w:space="0" w:color="auto"/>
        <w:right w:val="none" w:sz="0" w:space="0" w:color="auto"/>
      </w:divBdr>
      <w:divsChild>
        <w:div w:id="1106196773">
          <w:marLeft w:val="0"/>
          <w:marRight w:val="0"/>
          <w:marTop w:val="0"/>
          <w:marBottom w:val="0"/>
          <w:divBdr>
            <w:top w:val="none" w:sz="0" w:space="0" w:color="auto"/>
            <w:left w:val="none" w:sz="0" w:space="0" w:color="auto"/>
            <w:bottom w:val="none" w:sz="0" w:space="0" w:color="auto"/>
            <w:right w:val="none" w:sz="0" w:space="0" w:color="auto"/>
          </w:divBdr>
          <w:divsChild>
            <w:div w:id="1023439638">
              <w:marLeft w:val="0"/>
              <w:marRight w:val="0"/>
              <w:marTop w:val="525"/>
              <w:marBottom w:val="0"/>
              <w:divBdr>
                <w:top w:val="none" w:sz="0" w:space="0" w:color="auto"/>
                <w:left w:val="none" w:sz="0" w:space="0" w:color="auto"/>
                <w:bottom w:val="none" w:sz="0" w:space="0" w:color="auto"/>
                <w:right w:val="none" w:sz="0" w:space="0" w:color="auto"/>
              </w:divBdr>
              <w:divsChild>
                <w:div w:id="599725930">
                  <w:marLeft w:val="0"/>
                  <w:marRight w:val="0"/>
                  <w:marTop w:val="0"/>
                  <w:marBottom w:val="0"/>
                  <w:divBdr>
                    <w:top w:val="none" w:sz="0" w:space="0" w:color="auto"/>
                    <w:left w:val="none" w:sz="0" w:space="0" w:color="auto"/>
                    <w:bottom w:val="none" w:sz="0" w:space="0" w:color="auto"/>
                    <w:right w:val="none" w:sz="0" w:space="0" w:color="auto"/>
                  </w:divBdr>
                  <w:divsChild>
                    <w:div w:id="1418559334">
                      <w:marLeft w:val="0"/>
                      <w:marRight w:val="300"/>
                      <w:marTop w:val="0"/>
                      <w:marBottom w:val="0"/>
                      <w:divBdr>
                        <w:top w:val="none" w:sz="0" w:space="0" w:color="auto"/>
                        <w:left w:val="none" w:sz="0" w:space="0" w:color="auto"/>
                        <w:bottom w:val="none" w:sz="0" w:space="0" w:color="auto"/>
                        <w:right w:val="none" w:sz="0" w:space="0" w:color="auto"/>
                      </w:divBdr>
                      <w:divsChild>
                        <w:div w:id="628128368">
                          <w:marLeft w:val="0"/>
                          <w:marRight w:val="0"/>
                          <w:marTop w:val="0"/>
                          <w:marBottom w:val="0"/>
                          <w:divBdr>
                            <w:top w:val="none" w:sz="0" w:space="0" w:color="auto"/>
                            <w:left w:val="none" w:sz="0" w:space="0" w:color="auto"/>
                            <w:bottom w:val="none" w:sz="0" w:space="0" w:color="auto"/>
                            <w:right w:val="none" w:sz="0" w:space="0" w:color="auto"/>
                          </w:divBdr>
                          <w:divsChild>
                            <w:div w:id="1434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93808">
      <w:bodyDiv w:val="1"/>
      <w:marLeft w:val="0"/>
      <w:marRight w:val="0"/>
      <w:marTop w:val="0"/>
      <w:marBottom w:val="0"/>
      <w:divBdr>
        <w:top w:val="none" w:sz="0" w:space="0" w:color="auto"/>
        <w:left w:val="none" w:sz="0" w:space="0" w:color="auto"/>
        <w:bottom w:val="none" w:sz="0" w:space="0" w:color="auto"/>
        <w:right w:val="none" w:sz="0" w:space="0" w:color="auto"/>
      </w:divBdr>
    </w:div>
    <w:div w:id="1304198539">
      <w:bodyDiv w:val="1"/>
      <w:marLeft w:val="0"/>
      <w:marRight w:val="0"/>
      <w:marTop w:val="0"/>
      <w:marBottom w:val="0"/>
      <w:divBdr>
        <w:top w:val="none" w:sz="0" w:space="0" w:color="auto"/>
        <w:left w:val="none" w:sz="0" w:space="0" w:color="auto"/>
        <w:bottom w:val="none" w:sz="0" w:space="0" w:color="auto"/>
        <w:right w:val="none" w:sz="0" w:space="0" w:color="auto"/>
      </w:divBdr>
    </w:div>
    <w:div w:id="1354840200">
      <w:bodyDiv w:val="1"/>
      <w:marLeft w:val="0"/>
      <w:marRight w:val="0"/>
      <w:marTop w:val="0"/>
      <w:marBottom w:val="0"/>
      <w:divBdr>
        <w:top w:val="none" w:sz="0" w:space="0" w:color="auto"/>
        <w:left w:val="none" w:sz="0" w:space="0" w:color="auto"/>
        <w:bottom w:val="none" w:sz="0" w:space="0" w:color="auto"/>
        <w:right w:val="none" w:sz="0" w:space="0" w:color="auto"/>
      </w:divBdr>
    </w:div>
    <w:div w:id="1364013327">
      <w:bodyDiv w:val="1"/>
      <w:marLeft w:val="0"/>
      <w:marRight w:val="0"/>
      <w:marTop w:val="0"/>
      <w:marBottom w:val="0"/>
      <w:divBdr>
        <w:top w:val="none" w:sz="0" w:space="0" w:color="auto"/>
        <w:left w:val="none" w:sz="0" w:space="0" w:color="auto"/>
        <w:bottom w:val="none" w:sz="0" w:space="0" w:color="auto"/>
        <w:right w:val="none" w:sz="0" w:space="0" w:color="auto"/>
      </w:divBdr>
    </w:div>
    <w:div w:id="1500342655">
      <w:bodyDiv w:val="1"/>
      <w:marLeft w:val="0"/>
      <w:marRight w:val="0"/>
      <w:marTop w:val="0"/>
      <w:marBottom w:val="0"/>
      <w:divBdr>
        <w:top w:val="none" w:sz="0" w:space="0" w:color="auto"/>
        <w:left w:val="none" w:sz="0" w:space="0" w:color="auto"/>
        <w:bottom w:val="none" w:sz="0" w:space="0" w:color="auto"/>
        <w:right w:val="none" w:sz="0" w:space="0" w:color="auto"/>
      </w:divBdr>
    </w:div>
    <w:div w:id="1546872013">
      <w:bodyDiv w:val="1"/>
      <w:marLeft w:val="0"/>
      <w:marRight w:val="0"/>
      <w:marTop w:val="0"/>
      <w:marBottom w:val="0"/>
      <w:divBdr>
        <w:top w:val="none" w:sz="0" w:space="0" w:color="auto"/>
        <w:left w:val="none" w:sz="0" w:space="0" w:color="auto"/>
        <w:bottom w:val="none" w:sz="0" w:space="0" w:color="auto"/>
        <w:right w:val="none" w:sz="0" w:space="0" w:color="auto"/>
      </w:divBdr>
    </w:div>
    <w:div w:id="1546942413">
      <w:bodyDiv w:val="1"/>
      <w:marLeft w:val="0"/>
      <w:marRight w:val="0"/>
      <w:marTop w:val="0"/>
      <w:marBottom w:val="0"/>
      <w:divBdr>
        <w:top w:val="none" w:sz="0" w:space="0" w:color="auto"/>
        <w:left w:val="none" w:sz="0" w:space="0" w:color="auto"/>
        <w:bottom w:val="none" w:sz="0" w:space="0" w:color="auto"/>
        <w:right w:val="none" w:sz="0" w:space="0" w:color="auto"/>
      </w:divBdr>
    </w:div>
    <w:div w:id="1628320147">
      <w:bodyDiv w:val="1"/>
      <w:marLeft w:val="0"/>
      <w:marRight w:val="0"/>
      <w:marTop w:val="0"/>
      <w:marBottom w:val="0"/>
      <w:divBdr>
        <w:top w:val="none" w:sz="0" w:space="0" w:color="auto"/>
        <w:left w:val="none" w:sz="0" w:space="0" w:color="auto"/>
        <w:bottom w:val="none" w:sz="0" w:space="0" w:color="auto"/>
        <w:right w:val="none" w:sz="0" w:space="0" w:color="auto"/>
      </w:divBdr>
    </w:div>
    <w:div w:id="1646198930">
      <w:bodyDiv w:val="1"/>
      <w:marLeft w:val="0"/>
      <w:marRight w:val="0"/>
      <w:marTop w:val="0"/>
      <w:marBottom w:val="0"/>
      <w:divBdr>
        <w:top w:val="none" w:sz="0" w:space="0" w:color="auto"/>
        <w:left w:val="none" w:sz="0" w:space="0" w:color="auto"/>
        <w:bottom w:val="none" w:sz="0" w:space="0" w:color="auto"/>
        <w:right w:val="none" w:sz="0" w:space="0" w:color="auto"/>
      </w:divBdr>
    </w:div>
    <w:div w:id="1660040830">
      <w:bodyDiv w:val="1"/>
      <w:marLeft w:val="0"/>
      <w:marRight w:val="0"/>
      <w:marTop w:val="0"/>
      <w:marBottom w:val="0"/>
      <w:divBdr>
        <w:top w:val="none" w:sz="0" w:space="0" w:color="auto"/>
        <w:left w:val="none" w:sz="0" w:space="0" w:color="auto"/>
        <w:bottom w:val="none" w:sz="0" w:space="0" w:color="auto"/>
        <w:right w:val="none" w:sz="0" w:space="0" w:color="auto"/>
      </w:divBdr>
    </w:div>
    <w:div w:id="1712995183">
      <w:bodyDiv w:val="1"/>
      <w:marLeft w:val="0"/>
      <w:marRight w:val="0"/>
      <w:marTop w:val="0"/>
      <w:marBottom w:val="0"/>
      <w:divBdr>
        <w:top w:val="none" w:sz="0" w:space="0" w:color="auto"/>
        <w:left w:val="none" w:sz="0" w:space="0" w:color="auto"/>
        <w:bottom w:val="none" w:sz="0" w:space="0" w:color="auto"/>
        <w:right w:val="none" w:sz="0" w:space="0" w:color="auto"/>
      </w:divBdr>
    </w:div>
    <w:div w:id="1721400921">
      <w:bodyDiv w:val="1"/>
      <w:marLeft w:val="0"/>
      <w:marRight w:val="0"/>
      <w:marTop w:val="0"/>
      <w:marBottom w:val="0"/>
      <w:divBdr>
        <w:top w:val="none" w:sz="0" w:space="0" w:color="auto"/>
        <w:left w:val="none" w:sz="0" w:space="0" w:color="auto"/>
        <w:bottom w:val="none" w:sz="0" w:space="0" w:color="auto"/>
        <w:right w:val="none" w:sz="0" w:space="0" w:color="auto"/>
      </w:divBdr>
    </w:div>
    <w:div w:id="1749888831">
      <w:bodyDiv w:val="1"/>
      <w:marLeft w:val="0"/>
      <w:marRight w:val="0"/>
      <w:marTop w:val="0"/>
      <w:marBottom w:val="0"/>
      <w:divBdr>
        <w:top w:val="none" w:sz="0" w:space="0" w:color="auto"/>
        <w:left w:val="none" w:sz="0" w:space="0" w:color="auto"/>
        <w:bottom w:val="none" w:sz="0" w:space="0" w:color="auto"/>
        <w:right w:val="none" w:sz="0" w:space="0" w:color="auto"/>
      </w:divBdr>
    </w:div>
    <w:div w:id="1808086241">
      <w:bodyDiv w:val="1"/>
      <w:marLeft w:val="0"/>
      <w:marRight w:val="0"/>
      <w:marTop w:val="0"/>
      <w:marBottom w:val="0"/>
      <w:divBdr>
        <w:top w:val="none" w:sz="0" w:space="0" w:color="auto"/>
        <w:left w:val="none" w:sz="0" w:space="0" w:color="auto"/>
        <w:bottom w:val="none" w:sz="0" w:space="0" w:color="auto"/>
        <w:right w:val="none" w:sz="0" w:space="0" w:color="auto"/>
      </w:divBdr>
    </w:div>
    <w:div w:id="1812477576">
      <w:bodyDiv w:val="1"/>
      <w:marLeft w:val="0"/>
      <w:marRight w:val="0"/>
      <w:marTop w:val="0"/>
      <w:marBottom w:val="0"/>
      <w:divBdr>
        <w:top w:val="none" w:sz="0" w:space="0" w:color="auto"/>
        <w:left w:val="none" w:sz="0" w:space="0" w:color="auto"/>
        <w:bottom w:val="none" w:sz="0" w:space="0" w:color="auto"/>
        <w:right w:val="none" w:sz="0" w:space="0" w:color="auto"/>
      </w:divBdr>
    </w:div>
    <w:div w:id="1859614798">
      <w:bodyDiv w:val="1"/>
      <w:marLeft w:val="0"/>
      <w:marRight w:val="0"/>
      <w:marTop w:val="0"/>
      <w:marBottom w:val="0"/>
      <w:divBdr>
        <w:top w:val="none" w:sz="0" w:space="0" w:color="auto"/>
        <w:left w:val="none" w:sz="0" w:space="0" w:color="auto"/>
        <w:bottom w:val="none" w:sz="0" w:space="0" w:color="auto"/>
        <w:right w:val="none" w:sz="0" w:space="0" w:color="auto"/>
      </w:divBdr>
    </w:div>
    <w:div w:id="1945529546">
      <w:bodyDiv w:val="1"/>
      <w:marLeft w:val="0"/>
      <w:marRight w:val="0"/>
      <w:marTop w:val="0"/>
      <w:marBottom w:val="0"/>
      <w:divBdr>
        <w:top w:val="none" w:sz="0" w:space="0" w:color="auto"/>
        <w:left w:val="none" w:sz="0" w:space="0" w:color="auto"/>
        <w:bottom w:val="none" w:sz="0" w:space="0" w:color="auto"/>
        <w:right w:val="none" w:sz="0" w:space="0" w:color="auto"/>
      </w:divBdr>
    </w:div>
    <w:div w:id="1972246068">
      <w:bodyDiv w:val="1"/>
      <w:marLeft w:val="0"/>
      <w:marRight w:val="0"/>
      <w:marTop w:val="0"/>
      <w:marBottom w:val="0"/>
      <w:divBdr>
        <w:top w:val="none" w:sz="0" w:space="0" w:color="auto"/>
        <w:left w:val="none" w:sz="0" w:space="0" w:color="auto"/>
        <w:bottom w:val="none" w:sz="0" w:space="0" w:color="auto"/>
        <w:right w:val="none" w:sz="0" w:space="0" w:color="auto"/>
      </w:divBdr>
    </w:div>
    <w:div w:id="2053311919">
      <w:bodyDiv w:val="1"/>
      <w:marLeft w:val="0"/>
      <w:marRight w:val="0"/>
      <w:marTop w:val="0"/>
      <w:marBottom w:val="0"/>
      <w:divBdr>
        <w:top w:val="none" w:sz="0" w:space="0" w:color="auto"/>
        <w:left w:val="none" w:sz="0" w:space="0" w:color="auto"/>
        <w:bottom w:val="none" w:sz="0" w:space="0" w:color="auto"/>
        <w:right w:val="none" w:sz="0" w:space="0" w:color="auto"/>
      </w:divBdr>
    </w:div>
    <w:div w:id="2060005894">
      <w:bodyDiv w:val="1"/>
      <w:marLeft w:val="0"/>
      <w:marRight w:val="0"/>
      <w:marTop w:val="0"/>
      <w:marBottom w:val="0"/>
      <w:divBdr>
        <w:top w:val="none" w:sz="0" w:space="0" w:color="auto"/>
        <w:left w:val="none" w:sz="0" w:space="0" w:color="auto"/>
        <w:bottom w:val="none" w:sz="0" w:space="0" w:color="auto"/>
        <w:right w:val="none" w:sz="0" w:space="0" w:color="auto"/>
      </w:divBdr>
    </w:div>
    <w:div w:id="2083864392">
      <w:bodyDiv w:val="1"/>
      <w:marLeft w:val="0"/>
      <w:marRight w:val="0"/>
      <w:marTop w:val="0"/>
      <w:marBottom w:val="0"/>
      <w:divBdr>
        <w:top w:val="none" w:sz="0" w:space="0" w:color="auto"/>
        <w:left w:val="none" w:sz="0" w:space="0" w:color="auto"/>
        <w:bottom w:val="none" w:sz="0" w:space="0" w:color="auto"/>
        <w:right w:val="none" w:sz="0" w:space="0" w:color="auto"/>
      </w:divBdr>
    </w:div>
    <w:div w:id="21167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763063" TargetMode="External"/><Relationship Id="rId1" Type="http://schemas.openxmlformats.org/officeDocument/2006/relationships/hyperlink" Target="https://search.coe.int/cm/Pages/result_details.aspx?ObjectId=09000016806b7e8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99A0-B882-4BC8-A2B6-CA98E8F5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6444</Words>
  <Characters>36736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43094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LONGANGUE Maxime</dc:creator>
  <cp:lastModifiedBy>sian</cp:lastModifiedBy>
  <cp:revision>4</cp:revision>
  <cp:lastPrinted>2019-03-27T13:33:00Z</cp:lastPrinted>
  <dcterms:created xsi:type="dcterms:W3CDTF">2019-03-27T13:33:00Z</dcterms:created>
  <dcterms:modified xsi:type="dcterms:W3CDTF">2019-03-28T10:20:00Z</dcterms:modified>
</cp:coreProperties>
</file>